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9A" w:rsidRPr="0001172B" w:rsidRDefault="006D4A9A" w:rsidP="007E0B90">
      <w:pPr>
        <w:jc w:val="center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</w:p>
    <w:p w:rsidR="00EF050F" w:rsidRPr="0001172B" w:rsidRDefault="00EF050F" w:rsidP="00EF050F">
      <w:pPr>
        <w:jc w:val="center"/>
        <w:rPr>
          <w:rFonts w:ascii="Calibri" w:hAnsi="Calibri" w:cs="Arial"/>
          <w:b/>
          <w:strike/>
          <w:sz w:val="24"/>
          <w:szCs w:val="24"/>
        </w:rPr>
      </w:pPr>
      <w:r w:rsidRPr="0001172B">
        <w:rPr>
          <w:rFonts w:ascii="Calibri" w:hAnsi="Calibri" w:cs="Arial"/>
          <w:b/>
          <w:sz w:val="24"/>
          <w:szCs w:val="24"/>
        </w:rPr>
        <w:t>Guidelines Covering Inward Investments under Section 37 of the FX Manual</w:t>
      </w:r>
    </w:p>
    <w:p w:rsidR="00EF050F" w:rsidRPr="0001172B" w:rsidRDefault="00EF050F" w:rsidP="00EF050F">
      <w:pPr>
        <w:jc w:val="both"/>
        <w:rPr>
          <w:rFonts w:ascii="Calibri" w:hAnsi="Calibri" w:cs="Arial"/>
          <w:sz w:val="24"/>
          <w:szCs w:val="24"/>
        </w:rPr>
      </w:pPr>
    </w:p>
    <w:p w:rsidR="00EF050F" w:rsidRPr="0001172B" w:rsidRDefault="00EF050F" w:rsidP="00EF050F">
      <w:pPr>
        <w:tabs>
          <w:tab w:val="left" w:pos="360"/>
        </w:tabs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ab/>
      </w:r>
      <w:r w:rsidRPr="0001172B">
        <w:rPr>
          <w:rFonts w:ascii="Calibri" w:hAnsi="Calibri" w:cs="Arial"/>
          <w:sz w:val="24"/>
          <w:szCs w:val="24"/>
        </w:rPr>
        <w:tab/>
        <w:t>The following guidelines shall apply to registration, repatriation/remittance, and reporting of inward investments under Section 37 of the FX Manual:</w:t>
      </w:r>
    </w:p>
    <w:p w:rsidR="00EF050F" w:rsidRPr="0001172B" w:rsidRDefault="00EF050F" w:rsidP="00EF050F">
      <w:pPr>
        <w:jc w:val="both"/>
        <w:rPr>
          <w:rFonts w:ascii="Calibri" w:hAnsi="Calibri" w:cs="Arial"/>
          <w:sz w:val="24"/>
          <w:szCs w:val="24"/>
        </w:rPr>
      </w:pPr>
    </w:p>
    <w:p w:rsidR="009B534C" w:rsidRPr="0001172B" w:rsidRDefault="009B534C" w:rsidP="009B534C">
      <w:pPr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01172B">
        <w:rPr>
          <w:rFonts w:ascii="Calibri" w:hAnsi="Calibri" w:cs="Arial"/>
          <w:b/>
          <w:sz w:val="24"/>
          <w:szCs w:val="24"/>
        </w:rPr>
        <w:t>Registration of investments with registering AABs</w:t>
      </w:r>
      <w:r w:rsidR="00033657" w:rsidRPr="0001172B">
        <w:rPr>
          <w:rStyle w:val="FootnoteReference"/>
          <w:rFonts w:ascii="Calibri" w:hAnsi="Calibri" w:cs="Arial"/>
          <w:b/>
          <w:sz w:val="24"/>
          <w:szCs w:val="24"/>
        </w:rPr>
        <w:footnoteReference w:id="1"/>
      </w:r>
    </w:p>
    <w:p w:rsidR="009B534C" w:rsidRPr="0001172B" w:rsidRDefault="009B534C" w:rsidP="009B534C">
      <w:pPr>
        <w:jc w:val="both"/>
        <w:rPr>
          <w:rFonts w:ascii="Calibri" w:hAnsi="Calibri" w:cs="Arial"/>
          <w:sz w:val="24"/>
          <w:szCs w:val="24"/>
        </w:rPr>
      </w:pPr>
    </w:p>
    <w:p w:rsidR="009B534C" w:rsidRPr="0001172B" w:rsidRDefault="005005B2" w:rsidP="009B534C">
      <w:pPr>
        <w:numPr>
          <w:ilvl w:val="0"/>
          <w:numId w:val="5"/>
        </w:numPr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b/>
          <w:sz w:val="24"/>
          <w:szCs w:val="24"/>
        </w:rPr>
        <w:t>A</w:t>
      </w:r>
      <w:r w:rsidR="009B534C" w:rsidRPr="0001172B">
        <w:rPr>
          <w:rFonts w:ascii="Calibri" w:hAnsi="Calibri" w:cs="Arial"/>
          <w:b/>
          <w:sz w:val="24"/>
          <w:szCs w:val="24"/>
        </w:rPr>
        <w:t>pplications for registration</w:t>
      </w:r>
    </w:p>
    <w:p w:rsidR="009B534C" w:rsidRPr="0001172B" w:rsidRDefault="009B534C" w:rsidP="005005B2">
      <w:pPr>
        <w:jc w:val="both"/>
        <w:rPr>
          <w:rFonts w:ascii="Calibri" w:hAnsi="Calibri" w:cs="Arial"/>
          <w:sz w:val="24"/>
          <w:szCs w:val="24"/>
        </w:rPr>
      </w:pPr>
    </w:p>
    <w:p w:rsidR="00EF050F" w:rsidRPr="0001172B" w:rsidRDefault="00AA5685" w:rsidP="003A1118">
      <w:pPr>
        <w:numPr>
          <w:ilvl w:val="0"/>
          <w:numId w:val="4"/>
        </w:numPr>
        <w:ind w:left="0"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>R</w:t>
      </w:r>
      <w:r w:rsidR="00EF050F" w:rsidRPr="0001172B">
        <w:rPr>
          <w:rFonts w:ascii="Calibri" w:hAnsi="Calibri" w:cs="Arial"/>
          <w:sz w:val="24"/>
          <w:szCs w:val="24"/>
        </w:rPr>
        <w:t>egistration of investments under Sections 3</w:t>
      </w:r>
      <w:r w:rsidR="00034EA6" w:rsidRPr="0001172B">
        <w:rPr>
          <w:rFonts w:ascii="Calibri" w:hAnsi="Calibri" w:cs="Arial"/>
          <w:sz w:val="24"/>
          <w:szCs w:val="24"/>
        </w:rPr>
        <w:t>7</w:t>
      </w:r>
      <w:r w:rsidRPr="0001172B">
        <w:rPr>
          <w:rFonts w:ascii="Calibri" w:hAnsi="Calibri" w:cs="Arial"/>
          <w:sz w:val="24"/>
          <w:szCs w:val="24"/>
        </w:rPr>
        <w:t xml:space="preserve"> shall be done</w:t>
      </w:r>
      <w:r w:rsidR="00EF050F" w:rsidRPr="0001172B">
        <w:rPr>
          <w:rFonts w:ascii="Calibri" w:hAnsi="Calibri" w:cs="Arial"/>
          <w:sz w:val="24"/>
          <w:szCs w:val="24"/>
        </w:rPr>
        <w:t xml:space="preserve"> </w:t>
      </w:r>
      <w:r w:rsidRPr="0001172B">
        <w:rPr>
          <w:rFonts w:ascii="Calibri" w:hAnsi="Calibri" w:cs="Arial"/>
          <w:sz w:val="24"/>
          <w:szCs w:val="24"/>
        </w:rPr>
        <w:t>by</w:t>
      </w:r>
      <w:r w:rsidR="00EF050F" w:rsidRPr="0001172B">
        <w:rPr>
          <w:rFonts w:ascii="Calibri" w:hAnsi="Calibri" w:cs="Arial"/>
          <w:sz w:val="24"/>
          <w:szCs w:val="24"/>
        </w:rPr>
        <w:t xml:space="preserve"> </w:t>
      </w:r>
      <w:r w:rsidR="00034EA6" w:rsidRPr="0001172B">
        <w:rPr>
          <w:rFonts w:ascii="Calibri" w:hAnsi="Calibri" w:cs="Arial"/>
          <w:sz w:val="24"/>
          <w:szCs w:val="24"/>
        </w:rPr>
        <w:t>registering AABs</w:t>
      </w:r>
      <w:r w:rsidRPr="0001172B">
        <w:rPr>
          <w:rFonts w:ascii="Calibri" w:hAnsi="Calibri" w:cs="Arial"/>
          <w:sz w:val="24"/>
          <w:szCs w:val="24"/>
        </w:rPr>
        <w:t xml:space="preserve"> on behalf of the BSP</w:t>
      </w:r>
      <w:r w:rsidR="005005B2" w:rsidRPr="0001172B">
        <w:rPr>
          <w:rFonts w:ascii="Calibri" w:hAnsi="Calibri" w:cs="Arial"/>
          <w:sz w:val="24"/>
          <w:szCs w:val="24"/>
        </w:rPr>
        <w:t xml:space="preserve"> based on prescribed </w:t>
      </w:r>
      <w:r w:rsidR="00EF050F" w:rsidRPr="0001172B">
        <w:rPr>
          <w:rFonts w:ascii="Calibri" w:hAnsi="Calibri" w:cs="Arial"/>
          <w:sz w:val="24"/>
          <w:szCs w:val="24"/>
        </w:rPr>
        <w:t>support</w:t>
      </w:r>
      <w:r w:rsidR="005005B2" w:rsidRPr="0001172B">
        <w:rPr>
          <w:rFonts w:ascii="Calibri" w:hAnsi="Calibri" w:cs="Arial"/>
          <w:sz w:val="24"/>
          <w:szCs w:val="24"/>
        </w:rPr>
        <w:t>ing</w:t>
      </w:r>
      <w:r w:rsidRPr="0001172B">
        <w:rPr>
          <w:rFonts w:ascii="Calibri" w:hAnsi="Calibri" w:cs="Arial"/>
          <w:sz w:val="24"/>
          <w:szCs w:val="24"/>
        </w:rPr>
        <w:t xml:space="preserve"> </w:t>
      </w:r>
      <w:r w:rsidR="00EF050F" w:rsidRPr="0001172B">
        <w:rPr>
          <w:rFonts w:ascii="Calibri" w:hAnsi="Calibri" w:cs="Arial"/>
          <w:sz w:val="24"/>
          <w:szCs w:val="24"/>
        </w:rPr>
        <w:t xml:space="preserve">documents (i.e., proof </w:t>
      </w:r>
      <w:r w:rsidR="005005B2" w:rsidRPr="0001172B">
        <w:rPr>
          <w:rFonts w:ascii="Calibri" w:hAnsi="Calibri" w:cs="Arial"/>
          <w:sz w:val="24"/>
          <w:szCs w:val="24"/>
        </w:rPr>
        <w:t>of funding and investment</w:t>
      </w:r>
      <w:r w:rsidR="00CD1DD2" w:rsidRPr="0001172B">
        <w:rPr>
          <w:rFonts w:ascii="Calibri" w:hAnsi="Calibri" w:cs="Arial"/>
          <w:sz w:val="24"/>
          <w:szCs w:val="24"/>
        </w:rPr>
        <w:t xml:space="preserve"> made</w:t>
      </w:r>
      <w:r w:rsidR="005005B2" w:rsidRPr="0001172B">
        <w:rPr>
          <w:rFonts w:ascii="Calibri" w:hAnsi="Calibri" w:cs="Arial"/>
          <w:sz w:val="24"/>
          <w:szCs w:val="24"/>
        </w:rPr>
        <w:t xml:space="preserve">) listed </w:t>
      </w:r>
      <w:r w:rsidR="00EB238E" w:rsidRPr="0001172B">
        <w:rPr>
          <w:rFonts w:ascii="Calibri" w:hAnsi="Calibri" w:cs="Arial"/>
          <w:sz w:val="24"/>
          <w:szCs w:val="24"/>
        </w:rPr>
        <w:t xml:space="preserve">under </w:t>
      </w:r>
      <w:r w:rsidR="00EF050F" w:rsidRPr="0001172B">
        <w:rPr>
          <w:rFonts w:ascii="Calibri" w:hAnsi="Calibri" w:cs="Arial"/>
          <w:sz w:val="24"/>
          <w:szCs w:val="24"/>
        </w:rPr>
        <w:t>Appendix 10.C of the FX Manual</w:t>
      </w:r>
      <w:r w:rsidR="005005B2" w:rsidRPr="0001172B">
        <w:rPr>
          <w:rFonts w:ascii="Calibri" w:hAnsi="Calibri" w:cs="Arial"/>
          <w:sz w:val="24"/>
          <w:szCs w:val="24"/>
        </w:rPr>
        <w:t xml:space="preserve"> and a</w:t>
      </w:r>
      <w:r w:rsidR="006444CD" w:rsidRPr="0001172B">
        <w:rPr>
          <w:rFonts w:ascii="Calibri" w:hAnsi="Calibri" w:cs="Arial"/>
          <w:sz w:val="24"/>
          <w:szCs w:val="24"/>
        </w:rPr>
        <w:t xml:space="preserve"> duly accomplished</w:t>
      </w:r>
      <w:r w:rsidR="006572C3" w:rsidRPr="0001172B">
        <w:rPr>
          <w:rFonts w:ascii="Calibri" w:hAnsi="Calibri" w:cs="Arial"/>
          <w:sz w:val="24"/>
          <w:szCs w:val="24"/>
        </w:rPr>
        <w:t xml:space="preserve"> “Authority to Disclose” </w:t>
      </w:r>
      <w:r w:rsidR="006444CD" w:rsidRPr="0001172B">
        <w:rPr>
          <w:rFonts w:ascii="Calibri" w:hAnsi="Calibri" w:cs="Arial"/>
          <w:sz w:val="24"/>
          <w:szCs w:val="24"/>
        </w:rPr>
        <w:t xml:space="preserve">form </w:t>
      </w:r>
      <w:r w:rsidR="00A816A8" w:rsidRPr="0001172B">
        <w:rPr>
          <w:rFonts w:ascii="Calibri" w:hAnsi="Calibri" w:cs="Arial"/>
          <w:sz w:val="24"/>
          <w:szCs w:val="24"/>
        </w:rPr>
        <w:t>under Appendix 10.4</w:t>
      </w:r>
      <w:r w:rsidR="00EF050F" w:rsidRPr="0001172B">
        <w:rPr>
          <w:rFonts w:ascii="Calibri" w:hAnsi="Calibri" w:cs="Arial"/>
          <w:sz w:val="24"/>
          <w:szCs w:val="24"/>
        </w:rPr>
        <w:t>.</w:t>
      </w:r>
    </w:p>
    <w:p w:rsidR="00262452" w:rsidRPr="0001172B" w:rsidRDefault="00262452" w:rsidP="006E572F">
      <w:pPr>
        <w:ind w:firstLine="720"/>
        <w:jc w:val="both"/>
        <w:rPr>
          <w:rFonts w:ascii="Calibri" w:hAnsi="Calibri" w:cs="Arial"/>
          <w:strike/>
          <w:sz w:val="24"/>
          <w:szCs w:val="24"/>
        </w:rPr>
      </w:pPr>
    </w:p>
    <w:p w:rsidR="000C7C7A" w:rsidRPr="0001172B" w:rsidRDefault="0013605F" w:rsidP="003A1118">
      <w:pPr>
        <w:numPr>
          <w:ilvl w:val="0"/>
          <w:numId w:val="4"/>
        </w:numPr>
        <w:ind w:left="0" w:firstLine="360"/>
        <w:jc w:val="both"/>
        <w:rPr>
          <w:rFonts w:ascii="Calibri" w:hAnsi="Calibri"/>
          <w:sz w:val="24"/>
          <w:szCs w:val="17"/>
        </w:rPr>
      </w:pPr>
      <w:r w:rsidRPr="0001172B">
        <w:rPr>
          <w:rFonts w:ascii="Calibri" w:hAnsi="Calibri"/>
          <w:sz w:val="24"/>
          <w:szCs w:val="17"/>
        </w:rPr>
        <w:t>The BSRD to be issued by the registering AAB</w:t>
      </w:r>
      <w:r w:rsidR="0031700F" w:rsidRPr="0001172B">
        <w:rPr>
          <w:rFonts w:ascii="Calibri" w:hAnsi="Calibri"/>
          <w:sz w:val="24"/>
          <w:szCs w:val="17"/>
        </w:rPr>
        <w:t>s</w:t>
      </w:r>
      <w:r w:rsidR="00EB37F3" w:rsidRPr="0001172B">
        <w:rPr>
          <w:rFonts w:ascii="Calibri" w:hAnsi="Calibri"/>
          <w:sz w:val="24"/>
          <w:szCs w:val="17"/>
        </w:rPr>
        <w:t xml:space="preserve"> shall be</w:t>
      </w:r>
      <w:r w:rsidR="006D5556" w:rsidRPr="0001172B">
        <w:rPr>
          <w:rFonts w:ascii="Calibri" w:hAnsi="Calibri"/>
          <w:sz w:val="24"/>
          <w:szCs w:val="17"/>
        </w:rPr>
        <w:t xml:space="preserve"> signed by an authorized officer</w:t>
      </w:r>
      <w:r w:rsidR="00EB37F3" w:rsidRPr="0001172B">
        <w:rPr>
          <w:rFonts w:ascii="Calibri" w:hAnsi="Calibri"/>
          <w:sz w:val="24"/>
          <w:szCs w:val="17"/>
        </w:rPr>
        <w:t xml:space="preserve"> as</w:t>
      </w:r>
      <w:r w:rsidR="00B0658C" w:rsidRPr="0001172B">
        <w:rPr>
          <w:rFonts w:ascii="Calibri" w:hAnsi="Calibri"/>
          <w:sz w:val="24"/>
          <w:szCs w:val="17"/>
        </w:rPr>
        <w:t xml:space="preserve"> prescribed by the BSP-IOD</w:t>
      </w:r>
      <w:r w:rsidRPr="0001172B">
        <w:rPr>
          <w:rFonts w:ascii="Calibri" w:hAnsi="Calibri"/>
          <w:sz w:val="24"/>
          <w:szCs w:val="17"/>
        </w:rPr>
        <w:t>. A separate BSRD</w:t>
      </w:r>
      <w:r w:rsidR="004B0038" w:rsidRPr="0001172B">
        <w:rPr>
          <w:rFonts w:ascii="Calibri" w:hAnsi="Calibri"/>
          <w:sz w:val="24"/>
          <w:szCs w:val="17"/>
        </w:rPr>
        <w:t xml:space="preserve"> </w:t>
      </w:r>
      <w:r w:rsidR="000C7C7A" w:rsidRPr="0001172B">
        <w:rPr>
          <w:rFonts w:ascii="Calibri" w:hAnsi="Calibri"/>
          <w:sz w:val="24"/>
          <w:szCs w:val="17"/>
        </w:rPr>
        <w:t>shall be issued</w:t>
      </w:r>
      <w:r w:rsidR="004C5D0E" w:rsidRPr="0001172B">
        <w:rPr>
          <w:rFonts w:ascii="Calibri" w:hAnsi="Calibri"/>
          <w:sz w:val="24"/>
          <w:szCs w:val="17"/>
        </w:rPr>
        <w:t xml:space="preserve"> to a non-resident </w:t>
      </w:r>
      <w:r w:rsidR="004C5D0E" w:rsidRPr="00FD4A49">
        <w:rPr>
          <w:rFonts w:ascii="Calibri" w:hAnsi="Calibri"/>
          <w:sz w:val="24"/>
          <w:szCs w:val="17"/>
        </w:rPr>
        <w:t>exclusively</w:t>
      </w:r>
      <w:r w:rsidR="000C7C7A" w:rsidRPr="0001172B">
        <w:rPr>
          <w:rFonts w:ascii="Calibri" w:hAnsi="Calibri"/>
          <w:sz w:val="24"/>
          <w:szCs w:val="17"/>
        </w:rPr>
        <w:t xml:space="preserve"> </w:t>
      </w:r>
      <w:r w:rsidR="004C5D0E" w:rsidRPr="0001172B">
        <w:rPr>
          <w:rFonts w:ascii="Calibri" w:hAnsi="Calibri"/>
          <w:sz w:val="24"/>
          <w:szCs w:val="17"/>
        </w:rPr>
        <w:t>for all investments</w:t>
      </w:r>
      <w:r w:rsidR="00E154E7" w:rsidRPr="0001172B">
        <w:rPr>
          <w:rFonts w:ascii="Calibri" w:hAnsi="Calibri"/>
          <w:sz w:val="24"/>
          <w:szCs w:val="17"/>
        </w:rPr>
        <w:t xml:space="preserve"> in </w:t>
      </w:r>
      <w:r w:rsidR="00ED6E21" w:rsidRPr="0001172B">
        <w:rPr>
          <w:rFonts w:ascii="Calibri" w:hAnsi="Calibri"/>
          <w:sz w:val="24"/>
          <w:szCs w:val="17"/>
        </w:rPr>
        <w:t>the following</w:t>
      </w:r>
      <w:r w:rsidR="000C7C7A" w:rsidRPr="0001172B">
        <w:rPr>
          <w:rFonts w:ascii="Calibri" w:hAnsi="Calibri"/>
          <w:sz w:val="24"/>
          <w:szCs w:val="17"/>
        </w:rPr>
        <w:t xml:space="preserve">: </w:t>
      </w:r>
    </w:p>
    <w:p w:rsidR="000C7C7A" w:rsidRPr="0001172B" w:rsidRDefault="000C7C7A" w:rsidP="000C7C7A">
      <w:pPr>
        <w:pStyle w:val="ListParagraph"/>
        <w:rPr>
          <w:rFonts w:ascii="Calibri" w:hAnsi="Calibri"/>
          <w:sz w:val="24"/>
          <w:szCs w:val="17"/>
        </w:rPr>
      </w:pPr>
    </w:p>
    <w:p w:rsidR="000C7C7A" w:rsidRPr="0001172B" w:rsidRDefault="00ED6E21" w:rsidP="000C7C7A">
      <w:pPr>
        <w:numPr>
          <w:ilvl w:val="1"/>
          <w:numId w:val="4"/>
        </w:numPr>
        <w:ind w:left="1080"/>
        <w:jc w:val="both"/>
        <w:rPr>
          <w:rFonts w:ascii="Calibri" w:hAnsi="Calibri"/>
          <w:sz w:val="24"/>
          <w:szCs w:val="17"/>
        </w:rPr>
      </w:pPr>
      <w:r w:rsidRPr="0001172B">
        <w:rPr>
          <w:rFonts w:ascii="Calibri" w:hAnsi="Calibri"/>
          <w:sz w:val="24"/>
          <w:szCs w:val="17"/>
        </w:rPr>
        <w:t xml:space="preserve">Securities </w:t>
      </w:r>
      <w:r w:rsidR="0013605F" w:rsidRPr="0001172B">
        <w:rPr>
          <w:rFonts w:ascii="Calibri" w:hAnsi="Calibri"/>
          <w:sz w:val="24"/>
          <w:szCs w:val="17"/>
        </w:rPr>
        <w:t>issued by non-residents</w:t>
      </w:r>
      <w:r w:rsidR="0031700F" w:rsidRPr="0001172B">
        <w:rPr>
          <w:rFonts w:ascii="Calibri" w:hAnsi="Calibri"/>
          <w:sz w:val="24"/>
          <w:szCs w:val="17"/>
        </w:rPr>
        <w:t xml:space="preserve"> </w:t>
      </w:r>
      <w:r w:rsidR="005005B2" w:rsidRPr="0001172B">
        <w:rPr>
          <w:rFonts w:ascii="Calibri" w:hAnsi="Calibri"/>
          <w:sz w:val="24"/>
          <w:szCs w:val="17"/>
        </w:rPr>
        <w:t>and are</w:t>
      </w:r>
      <w:r w:rsidR="0013605F" w:rsidRPr="0001172B">
        <w:rPr>
          <w:rFonts w:ascii="Calibri" w:hAnsi="Calibri"/>
          <w:sz w:val="24"/>
          <w:szCs w:val="17"/>
        </w:rPr>
        <w:t xml:space="preserve"> listed at an onshore exchange</w:t>
      </w:r>
      <w:r w:rsidR="002C6B86" w:rsidRPr="0001172B">
        <w:rPr>
          <w:rStyle w:val="FootnoteReference"/>
          <w:rFonts w:ascii="Calibri" w:hAnsi="Calibri"/>
          <w:sz w:val="24"/>
          <w:szCs w:val="17"/>
        </w:rPr>
        <w:footnoteReference w:id="2"/>
      </w:r>
      <w:r w:rsidR="000C7C7A" w:rsidRPr="0001172B">
        <w:rPr>
          <w:rFonts w:ascii="Calibri" w:hAnsi="Calibri"/>
          <w:sz w:val="24"/>
          <w:szCs w:val="17"/>
        </w:rPr>
        <w:t xml:space="preserve"> (with the suffix “NR” in the registration number)</w:t>
      </w:r>
      <w:r w:rsidR="004C5D0E" w:rsidRPr="0001172B">
        <w:rPr>
          <w:rFonts w:ascii="Calibri" w:hAnsi="Calibri"/>
          <w:sz w:val="24"/>
          <w:szCs w:val="17"/>
        </w:rPr>
        <w:t xml:space="preserve">; and </w:t>
      </w:r>
    </w:p>
    <w:p w:rsidR="009E4772" w:rsidRPr="0001172B" w:rsidRDefault="009E4772" w:rsidP="009E4772">
      <w:pPr>
        <w:ind w:left="1080"/>
        <w:jc w:val="both"/>
        <w:rPr>
          <w:rFonts w:ascii="Calibri" w:hAnsi="Calibri"/>
          <w:sz w:val="24"/>
          <w:szCs w:val="17"/>
        </w:rPr>
      </w:pPr>
    </w:p>
    <w:p w:rsidR="0013605F" w:rsidRPr="0001172B" w:rsidRDefault="00ED6E21" w:rsidP="000C7C7A">
      <w:pPr>
        <w:numPr>
          <w:ilvl w:val="1"/>
          <w:numId w:val="4"/>
        </w:numPr>
        <w:ind w:left="1080"/>
        <w:jc w:val="both"/>
        <w:rPr>
          <w:rFonts w:ascii="Calibri" w:hAnsi="Calibri"/>
          <w:sz w:val="24"/>
          <w:szCs w:val="17"/>
        </w:rPr>
      </w:pPr>
      <w:r w:rsidRPr="0001172B">
        <w:rPr>
          <w:rFonts w:ascii="Calibri" w:hAnsi="Calibri"/>
          <w:sz w:val="24"/>
          <w:szCs w:val="17"/>
        </w:rPr>
        <w:t xml:space="preserve">Instruments under Section 37 of the FX Manual </w:t>
      </w:r>
      <w:r w:rsidR="000C7C7A" w:rsidRPr="0001172B">
        <w:rPr>
          <w:rFonts w:ascii="Calibri" w:hAnsi="Calibri"/>
          <w:sz w:val="24"/>
          <w:szCs w:val="17"/>
        </w:rPr>
        <w:t>funded by peso proceeds of non-residents</w:t>
      </w:r>
      <w:r w:rsidR="00E154E7" w:rsidRPr="0001172B">
        <w:rPr>
          <w:rFonts w:ascii="Calibri" w:hAnsi="Calibri"/>
          <w:sz w:val="24"/>
          <w:szCs w:val="17"/>
        </w:rPr>
        <w:t>’</w:t>
      </w:r>
      <w:r w:rsidR="000C7C7A" w:rsidRPr="0001172B">
        <w:rPr>
          <w:rFonts w:ascii="Calibri" w:hAnsi="Calibri"/>
          <w:sz w:val="24"/>
          <w:szCs w:val="17"/>
        </w:rPr>
        <w:t xml:space="preserve"> </w:t>
      </w:r>
      <w:r w:rsidR="00977BC7" w:rsidRPr="0001172B">
        <w:rPr>
          <w:rFonts w:ascii="Calibri" w:hAnsi="Calibri"/>
          <w:sz w:val="24"/>
          <w:szCs w:val="17"/>
        </w:rPr>
        <w:t>securities listed at an onshore exchange</w:t>
      </w:r>
      <w:r w:rsidR="002C6B86" w:rsidRPr="0001172B">
        <w:rPr>
          <w:rFonts w:ascii="Calibri" w:hAnsi="Calibri"/>
          <w:sz w:val="24"/>
          <w:szCs w:val="17"/>
          <w:vertAlign w:val="superscript"/>
        </w:rPr>
        <w:t>2</w:t>
      </w:r>
      <w:r w:rsidR="000C7C7A" w:rsidRPr="0001172B">
        <w:rPr>
          <w:rFonts w:ascii="Calibri" w:hAnsi="Calibri"/>
          <w:sz w:val="24"/>
          <w:szCs w:val="17"/>
        </w:rPr>
        <w:t xml:space="preserve"> </w:t>
      </w:r>
      <w:r w:rsidR="004C5D0E" w:rsidRPr="0001172B">
        <w:rPr>
          <w:rFonts w:ascii="Calibri" w:hAnsi="Calibri"/>
          <w:sz w:val="24"/>
          <w:szCs w:val="17"/>
        </w:rPr>
        <w:t>(with the suffix “P” in the registration number)</w:t>
      </w:r>
      <w:r w:rsidR="0013605F" w:rsidRPr="0001172B">
        <w:rPr>
          <w:rFonts w:ascii="Calibri" w:hAnsi="Calibri"/>
          <w:sz w:val="24"/>
          <w:szCs w:val="17"/>
        </w:rPr>
        <w:t>.</w:t>
      </w:r>
    </w:p>
    <w:p w:rsidR="0013605F" w:rsidRPr="0001172B" w:rsidRDefault="0013605F" w:rsidP="0013605F">
      <w:pPr>
        <w:tabs>
          <w:tab w:val="left" w:pos="810"/>
        </w:tabs>
        <w:jc w:val="both"/>
        <w:rPr>
          <w:rFonts w:ascii="Calibri" w:hAnsi="Calibri"/>
          <w:sz w:val="24"/>
          <w:szCs w:val="17"/>
        </w:rPr>
      </w:pPr>
    </w:p>
    <w:p w:rsidR="00A22B5E" w:rsidRPr="0001172B" w:rsidRDefault="00A22B5E" w:rsidP="004B0038">
      <w:pPr>
        <w:numPr>
          <w:ilvl w:val="0"/>
          <w:numId w:val="4"/>
        </w:numPr>
        <w:ind w:left="0"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>For initial registration</w:t>
      </w:r>
      <w:r w:rsidR="00474A24" w:rsidRPr="0001172B">
        <w:rPr>
          <w:rStyle w:val="FootnoteReference"/>
          <w:rFonts w:ascii="Calibri" w:hAnsi="Calibri" w:cs="Arial"/>
          <w:sz w:val="24"/>
          <w:szCs w:val="24"/>
        </w:rPr>
        <w:footnoteReference w:id="3"/>
      </w:r>
      <w:r w:rsidRPr="0001172B">
        <w:rPr>
          <w:rFonts w:ascii="Calibri" w:hAnsi="Calibri" w:cs="Arial"/>
          <w:sz w:val="24"/>
          <w:szCs w:val="24"/>
        </w:rPr>
        <w:t>, the registering AABs shall submit to BSP</w:t>
      </w:r>
      <w:r w:rsidR="00DD7268" w:rsidRPr="0001172B">
        <w:rPr>
          <w:rFonts w:ascii="Calibri" w:hAnsi="Calibri" w:cs="Arial"/>
          <w:sz w:val="24"/>
          <w:szCs w:val="24"/>
        </w:rPr>
        <w:t>-IOD</w:t>
      </w:r>
      <w:r w:rsidR="002C6B86" w:rsidRPr="0001172B">
        <w:rPr>
          <w:rFonts w:ascii="Calibri" w:hAnsi="Calibri" w:cs="Arial"/>
          <w:sz w:val="24"/>
          <w:szCs w:val="24"/>
        </w:rPr>
        <w:t xml:space="preserve"> </w:t>
      </w:r>
      <w:r w:rsidR="004B0038" w:rsidRPr="0001172B">
        <w:rPr>
          <w:rFonts w:ascii="Calibri" w:hAnsi="Calibri" w:cs="Arial"/>
          <w:sz w:val="24"/>
          <w:szCs w:val="24"/>
        </w:rPr>
        <w:br/>
      </w:r>
      <w:r w:rsidR="002C6B86" w:rsidRPr="0001172B">
        <w:rPr>
          <w:rFonts w:asciiTheme="minorHAnsi" w:hAnsiTheme="minorHAnsi" w:cstheme="minorHAnsi"/>
          <w:sz w:val="24"/>
          <w:szCs w:val="24"/>
        </w:rPr>
        <w:t xml:space="preserve">at </w:t>
      </w:r>
      <w:r w:rsidR="004B0038" w:rsidRPr="0001172B">
        <w:rPr>
          <w:rFonts w:asciiTheme="minorHAnsi" w:hAnsiTheme="minorHAnsi" w:cstheme="minorHAnsi"/>
          <w:sz w:val="24"/>
          <w:szCs w:val="24"/>
        </w:rPr>
        <w:t xml:space="preserve">iod-pid@bsp.gov.ph, </w:t>
      </w:r>
      <w:r w:rsidR="004B0038" w:rsidRPr="0001172B">
        <w:rPr>
          <w:rFonts w:ascii="Calibri" w:hAnsi="Calibri" w:cs="Arial"/>
          <w:sz w:val="24"/>
          <w:szCs w:val="24"/>
        </w:rPr>
        <w:t>a copy of the BSRD issued in the name of the non-resident investor and original Authority to Disclose Information (Appendix 10.4),</w:t>
      </w:r>
      <w:r w:rsidRPr="0001172B">
        <w:rPr>
          <w:rFonts w:ascii="Calibri" w:hAnsi="Calibri" w:cs="Arial"/>
          <w:sz w:val="24"/>
          <w:szCs w:val="24"/>
        </w:rPr>
        <w:t xml:space="preserve"> within two (2) banking days </w:t>
      </w:r>
      <w:r w:rsidR="004B0038" w:rsidRPr="0001172B">
        <w:rPr>
          <w:rFonts w:ascii="Calibri" w:hAnsi="Calibri" w:cs="Arial"/>
          <w:sz w:val="24"/>
          <w:szCs w:val="24"/>
        </w:rPr>
        <w:t xml:space="preserve">from </w:t>
      </w:r>
      <w:r w:rsidR="002C6B86" w:rsidRPr="0001172B">
        <w:rPr>
          <w:rFonts w:ascii="Calibri" w:hAnsi="Calibri" w:cs="Arial"/>
          <w:sz w:val="24"/>
          <w:szCs w:val="24"/>
        </w:rPr>
        <w:t>registration</w:t>
      </w:r>
      <w:r w:rsidR="005151E7" w:rsidRPr="0001172B">
        <w:rPr>
          <w:rFonts w:ascii="Calibri" w:hAnsi="Calibri" w:cs="Arial"/>
          <w:sz w:val="24"/>
          <w:szCs w:val="24"/>
        </w:rPr>
        <w:t xml:space="preserve"> date</w:t>
      </w:r>
      <w:r w:rsidR="00156191" w:rsidRPr="0001172B">
        <w:rPr>
          <w:rFonts w:ascii="Calibri" w:hAnsi="Calibri" w:cs="Arial"/>
          <w:sz w:val="24"/>
          <w:szCs w:val="24"/>
        </w:rPr>
        <w:t>.</w:t>
      </w:r>
    </w:p>
    <w:p w:rsidR="00156191" w:rsidRPr="0001172B" w:rsidRDefault="00156191" w:rsidP="004B0038">
      <w:pPr>
        <w:jc w:val="both"/>
        <w:rPr>
          <w:rFonts w:ascii="Calibri" w:hAnsi="Calibri" w:cs="Arial"/>
          <w:sz w:val="24"/>
          <w:szCs w:val="24"/>
        </w:rPr>
      </w:pPr>
    </w:p>
    <w:p w:rsidR="00F100A9" w:rsidRPr="0001172B" w:rsidRDefault="00F100A9" w:rsidP="00F100A9">
      <w:pPr>
        <w:ind w:firstLine="72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>The original BSRD</w:t>
      </w:r>
      <w:r w:rsidR="00E029CA" w:rsidRPr="0001172B">
        <w:rPr>
          <w:rFonts w:ascii="Calibri" w:hAnsi="Calibri" w:cs="Arial"/>
          <w:sz w:val="24"/>
          <w:szCs w:val="24"/>
        </w:rPr>
        <w:t xml:space="preserve"> </w:t>
      </w:r>
      <w:r w:rsidR="005005B2" w:rsidRPr="0001172B">
        <w:rPr>
          <w:rFonts w:ascii="Calibri" w:hAnsi="Calibri" w:cs="Arial"/>
          <w:sz w:val="24"/>
          <w:szCs w:val="24"/>
        </w:rPr>
        <w:t>and</w:t>
      </w:r>
      <w:r w:rsidR="00E029CA" w:rsidRPr="0001172B">
        <w:rPr>
          <w:rFonts w:ascii="Calibri" w:hAnsi="Calibri" w:cs="Arial"/>
          <w:sz w:val="24"/>
          <w:szCs w:val="24"/>
        </w:rPr>
        <w:t xml:space="preserve"> </w:t>
      </w:r>
      <w:r w:rsidR="000272CE" w:rsidRPr="0001172B">
        <w:rPr>
          <w:rFonts w:ascii="Calibri" w:hAnsi="Calibri" w:cs="Arial"/>
          <w:sz w:val="24"/>
          <w:szCs w:val="24"/>
        </w:rPr>
        <w:t xml:space="preserve">other </w:t>
      </w:r>
      <w:r w:rsidR="00E029CA" w:rsidRPr="0001172B">
        <w:rPr>
          <w:rFonts w:ascii="Calibri" w:hAnsi="Calibri" w:cs="Arial"/>
          <w:sz w:val="24"/>
          <w:szCs w:val="24"/>
        </w:rPr>
        <w:t xml:space="preserve">supporting documents </w:t>
      </w:r>
      <w:r w:rsidR="00EB238E" w:rsidRPr="0001172B">
        <w:rPr>
          <w:rFonts w:ascii="Calibri" w:hAnsi="Calibri" w:cs="Arial"/>
          <w:sz w:val="24"/>
          <w:szCs w:val="24"/>
        </w:rPr>
        <w:t>listed under</w:t>
      </w:r>
      <w:r w:rsidR="00E029CA" w:rsidRPr="0001172B">
        <w:rPr>
          <w:rFonts w:ascii="Calibri" w:hAnsi="Calibri" w:cs="Arial"/>
          <w:sz w:val="24"/>
          <w:szCs w:val="24"/>
        </w:rPr>
        <w:t xml:space="preserve"> </w:t>
      </w:r>
      <w:r w:rsidR="000272CE" w:rsidRPr="0001172B">
        <w:rPr>
          <w:rFonts w:ascii="Calibri" w:hAnsi="Calibri" w:cs="Arial"/>
          <w:sz w:val="24"/>
          <w:szCs w:val="24"/>
        </w:rPr>
        <w:br/>
      </w:r>
      <w:r w:rsidR="00E029CA" w:rsidRPr="0001172B">
        <w:rPr>
          <w:rFonts w:ascii="Calibri" w:hAnsi="Calibri" w:cs="Arial"/>
          <w:sz w:val="24"/>
          <w:szCs w:val="24"/>
        </w:rPr>
        <w:t>Appendix 10.C of the FX Manual</w:t>
      </w:r>
      <w:r w:rsidRPr="0001172B">
        <w:rPr>
          <w:rFonts w:ascii="Calibri" w:hAnsi="Calibri" w:cs="Arial"/>
          <w:sz w:val="24"/>
          <w:szCs w:val="24"/>
        </w:rPr>
        <w:t xml:space="preserve"> shall remain in the custody of the registering AABs</w:t>
      </w:r>
      <w:r w:rsidR="005005B2" w:rsidRPr="0001172B">
        <w:rPr>
          <w:rFonts w:ascii="Calibri" w:hAnsi="Calibri" w:cs="Arial"/>
          <w:sz w:val="24"/>
          <w:szCs w:val="24"/>
        </w:rPr>
        <w:t xml:space="preserve"> but </w:t>
      </w:r>
      <w:r w:rsidR="00E029CA" w:rsidRPr="0001172B">
        <w:rPr>
          <w:rFonts w:ascii="Calibri" w:hAnsi="Calibri" w:cs="Arial"/>
          <w:sz w:val="24"/>
          <w:szCs w:val="24"/>
        </w:rPr>
        <w:t xml:space="preserve">shall </w:t>
      </w:r>
      <w:r w:rsidR="000272CE" w:rsidRPr="0001172B">
        <w:rPr>
          <w:rFonts w:ascii="Calibri" w:hAnsi="Calibri" w:cs="Arial"/>
          <w:sz w:val="24"/>
          <w:szCs w:val="24"/>
        </w:rPr>
        <w:t xml:space="preserve">be made </w:t>
      </w:r>
      <w:r w:rsidR="00E029CA" w:rsidRPr="0001172B">
        <w:rPr>
          <w:rFonts w:ascii="Calibri" w:hAnsi="Calibri" w:cs="Arial"/>
          <w:sz w:val="24"/>
          <w:szCs w:val="24"/>
        </w:rPr>
        <w:t xml:space="preserve">available </w:t>
      </w:r>
      <w:r w:rsidR="003C3B9F" w:rsidRPr="0001172B">
        <w:rPr>
          <w:rFonts w:ascii="Calibri" w:hAnsi="Calibri" w:cs="Arial"/>
          <w:sz w:val="24"/>
          <w:szCs w:val="24"/>
        </w:rPr>
        <w:t xml:space="preserve">upon request by the BSP </w:t>
      </w:r>
      <w:r w:rsidR="00E029CA" w:rsidRPr="0001172B">
        <w:rPr>
          <w:rFonts w:ascii="Calibri" w:hAnsi="Calibri" w:cs="Arial"/>
          <w:sz w:val="24"/>
          <w:szCs w:val="24"/>
        </w:rPr>
        <w:t xml:space="preserve">for verification purposes.  </w:t>
      </w:r>
    </w:p>
    <w:p w:rsidR="00F100A9" w:rsidRPr="0001172B" w:rsidRDefault="00F100A9" w:rsidP="00A22B5E">
      <w:pPr>
        <w:pStyle w:val="ListParagraph"/>
        <w:rPr>
          <w:rFonts w:ascii="Calibri" w:hAnsi="Calibri"/>
          <w:sz w:val="24"/>
          <w:szCs w:val="17"/>
        </w:rPr>
      </w:pPr>
    </w:p>
    <w:p w:rsidR="00952D65" w:rsidRPr="0001172B" w:rsidRDefault="009674D5" w:rsidP="003A1118">
      <w:pPr>
        <w:numPr>
          <w:ilvl w:val="0"/>
          <w:numId w:val="4"/>
        </w:numPr>
        <w:ind w:left="0"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/>
          <w:sz w:val="24"/>
          <w:szCs w:val="17"/>
        </w:rPr>
        <w:t>All changes in</w:t>
      </w:r>
      <w:r w:rsidR="005005B2" w:rsidRPr="0001172B">
        <w:rPr>
          <w:rFonts w:ascii="Calibri" w:hAnsi="Calibri"/>
          <w:sz w:val="24"/>
          <w:szCs w:val="17"/>
        </w:rPr>
        <w:t xml:space="preserve"> the i</w:t>
      </w:r>
      <w:r w:rsidRPr="0001172B">
        <w:rPr>
          <w:rFonts w:ascii="Calibri" w:hAnsi="Calibri"/>
          <w:sz w:val="24"/>
          <w:szCs w:val="17"/>
        </w:rPr>
        <w:t>nvestments</w:t>
      </w:r>
      <w:r w:rsidR="00FC643F" w:rsidRPr="0001172B">
        <w:rPr>
          <w:rFonts w:ascii="Calibri" w:hAnsi="Calibri"/>
          <w:sz w:val="24"/>
          <w:szCs w:val="17"/>
          <w:vertAlign w:val="superscript"/>
        </w:rPr>
        <w:t>3</w:t>
      </w:r>
      <w:r w:rsidR="00736843" w:rsidRPr="0001172B">
        <w:rPr>
          <w:rFonts w:ascii="Calibri" w:hAnsi="Calibri"/>
          <w:sz w:val="24"/>
          <w:szCs w:val="17"/>
        </w:rPr>
        <w:t xml:space="preserve"> (e.g., additional investments, reduction in investments, dividend declaration, transfers)</w:t>
      </w:r>
      <w:r w:rsidRPr="0001172B">
        <w:rPr>
          <w:rFonts w:ascii="Calibri" w:hAnsi="Calibri"/>
          <w:sz w:val="24"/>
          <w:szCs w:val="17"/>
        </w:rPr>
        <w:t xml:space="preserve"> shall be reflected in the </w:t>
      </w:r>
      <w:r w:rsidR="00E96BFB" w:rsidRPr="0001172B">
        <w:rPr>
          <w:rFonts w:ascii="Calibri" w:hAnsi="Calibri"/>
          <w:sz w:val="24"/>
          <w:szCs w:val="17"/>
        </w:rPr>
        <w:t>records</w:t>
      </w:r>
      <w:r w:rsidRPr="0001172B">
        <w:rPr>
          <w:rFonts w:ascii="Calibri" w:hAnsi="Calibri"/>
          <w:sz w:val="24"/>
          <w:szCs w:val="17"/>
        </w:rPr>
        <w:t xml:space="preserve"> </w:t>
      </w:r>
      <w:r w:rsidR="00CD1DD2" w:rsidRPr="0001172B">
        <w:rPr>
          <w:rFonts w:ascii="Calibri" w:hAnsi="Calibri"/>
          <w:sz w:val="24"/>
          <w:szCs w:val="17"/>
        </w:rPr>
        <w:t>of</w:t>
      </w:r>
      <w:r w:rsidR="005005B2" w:rsidRPr="0001172B">
        <w:rPr>
          <w:rFonts w:ascii="Calibri" w:hAnsi="Calibri"/>
          <w:sz w:val="24"/>
          <w:szCs w:val="17"/>
        </w:rPr>
        <w:t xml:space="preserve"> the investor </w:t>
      </w:r>
      <w:r w:rsidRPr="0001172B">
        <w:rPr>
          <w:rFonts w:ascii="Calibri" w:hAnsi="Calibri"/>
          <w:sz w:val="24"/>
          <w:szCs w:val="17"/>
        </w:rPr>
        <w:t>main</w:t>
      </w:r>
      <w:r w:rsidR="005005B2" w:rsidRPr="0001172B">
        <w:rPr>
          <w:rFonts w:ascii="Calibri" w:hAnsi="Calibri"/>
          <w:sz w:val="24"/>
          <w:szCs w:val="17"/>
        </w:rPr>
        <w:t>tained by the registering AABs</w:t>
      </w:r>
      <w:r w:rsidRPr="0001172B">
        <w:rPr>
          <w:rFonts w:ascii="Calibri" w:hAnsi="Calibri"/>
          <w:sz w:val="24"/>
          <w:szCs w:val="17"/>
        </w:rPr>
        <w:t xml:space="preserve">.  </w:t>
      </w:r>
      <w:r w:rsidR="00952D65" w:rsidRPr="0001172B">
        <w:rPr>
          <w:rFonts w:ascii="Calibri" w:hAnsi="Calibri"/>
          <w:sz w:val="24"/>
          <w:szCs w:val="17"/>
        </w:rPr>
        <w:t xml:space="preserve"> </w:t>
      </w:r>
    </w:p>
    <w:p w:rsidR="00952D65" w:rsidRPr="0001172B" w:rsidRDefault="00952D65" w:rsidP="00952D65">
      <w:pPr>
        <w:tabs>
          <w:tab w:val="left" w:pos="720"/>
        </w:tabs>
        <w:jc w:val="both"/>
        <w:rPr>
          <w:rFonts w:ascii="Calibri" w:hAnsi="Calibri"/>
          <w:sz w:val="24"/>
          <w:szCs w:val="17"/>
        </w:rPr>
      </w:pPr>
    </w:p>
    <w:p w:rsidR="00952D65" w:rsidRPr="0001172B" w:rsidRDefault="0012151C" w:rsidP="0012151C">
      <w:pPr>
        <w:tabs>
          <w:tab w:val="left" w:pos="720"/>
        </w:tabs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/>
          <w:sz w:val="24"/>
          <w:szCs w:val="17"/>
        </w:rPr>
        <w:tab/>
      </w:r>
      <w:r w:rsidR="00952D65" w:rsidRPr="0001172B">
        <w:rPr>
          <w:rFonts w:ascii="Calibri" w:hAnsi="Calibri"/>
          <w:sz w:val="24"/>
          <w:szCs w:val="17"/>
        </w:rPr>
        <w:t xml:space="preserve">Additional investments </w:t>
      </w:r>
      <w:r w:rsidR="005005B2" w:rsidRPr="0001172B">
        <w:rPr>
          <w:rFonts w:ascii="Calibri" w:hAnsi="Calibri"/>
          <w:sz w:val="24"/>
          <w:szCs w:val="17"/>
        </w:rPr>
        <w:t>covering</w:t>
      </w:r>
      <w:r w:rsidR="00952D65" w:rsidRPr="0001172B">
        <w:rPr>
          <w:rFonts w:ascii="Calibri" w:hAnsi="Calibri"/>
          <w:sz w:val="24"/>
          <w:szCs w:val="17"/>
        </w:rPr>
        <w:t xml:space="preserve"> uplif</w:t>
      </w:r>
      <w:r w:rsidR="002A2AEA" w:rsidRPr="0001172B">
        <w:rPr>
          <w:rFonts w:ascii="Calibri" w:hAnsi="Calibri"/>
          <w:sz w:val="24"/>
          <w:szCs w:val="17"/>
        </w:rPr>
        <w:t>t</w:t>
      </w:r>
      <w:r w:rsidR="005005B2" w:rsidRPr="0001172B">
        <w:rPr>
          <w:rFonts w:ascii="Calibri" w:hAnsi="Calibri"/>
          <w:sz w:val="24"/>
          <w:szCs w:val="17"/>
        </w:rPr>
        <w:t>ed</w:t>
      </w:r>
      <w:r w:rsidR="00952D65" w:rsidRPr="0001172B">
        <w:rPr>
          <w:rFonts w:ascii="Calibri" w:hAnsi="Calibri"/>
          <w:sz w:val="24"/>
          <w:szCs w:val="17"/>
        </w:rPr>
        <w:t>/transfer</w:t>
      </w:r>
      <w:r w:rsidR="005005B2" w:rsidRPr="0001172B">
        <w:rPr>
          <w:rFonts w:ascii="Calibri" w:hAnsi="Calibri"/>
          <w:sz w:val="24"/>
          <w:szCs w:val="17"/>
        </w:rPr>
        <w:t>red</w:t>
      </w:r>
      <w:r w:rsidR="00952D65" w:rsidRPr="0001172B">
        <w:rPr>
          <w:rFonts w:ascii="Calibri" w:hAnsi="Calibri"/>
          <w:sz w:val="24"/>
          <w:szCs w:val="17"/>
        </w:rPr>
        <w:t xml:space="preserve"> </w:t>
      </w:r>
      <w:r w:rsidR="00E96BFB" w:rsidRPr="0001172B">
        <w:rPr>
          <w:rFonts w:ascii="Calibri" w:hAnsi="Calibri"/>
          <w:sz w:val="24"/>
          <w:szCs w:val="17"/>
        </w:rPr>
        <w:t xml:space="preserve">shares </w:t>
      </w:r>
      <w:r w:rsidR="00952D65" w:rsidRPr="0001172B">
        <w:rPr>
          <w:rFonts w:ascii="Calibri" w:hAnsi="Calibri"/>
          <w:sz w:val="24"/>
          <w:szCs w:val="17"/>
        </w:rPr>
        <w:t xml:space="preserve">to </w:t>
      </w:r>
      <w:r w:rsidR="005005B2" w:rsidRPr="0001172B">
        <w:rPr>
          <w:rFonts w:ascii="Calibri" w:hAnsi="Calibri"/>
          <w:sz w:val="24"/>
          <w:szCs w:val="17"/>
        </w:rPr>
        <w:t xml:space="preserve">an </w:t>
      </w:r>
      <w:r w:rsidR="0088512E" w:rsidRPr="0001172B">
        <w:rPr>
          <w:rFonts w:ascii="Calibri" w:hAnsi="Calibri"/>
          <w:sz w:val="24"/>
          <w:szCs w:val="17"/>
        </w:rPr>
        <w:t xml:space="preserve">onshore exchange </w:t>
      </w:r>
      <w:r w:rsidR="00952D65" w:rsidRPr="0001172B">
        <w:rPr>
          <w:rFonts w:ascii="Calibri" w:hAnsi="Calibri"/>
          <w:sz w:val="24"/>
          <w:szCs w:val="17"/>
        </w:rPr>
        <w:t>issued by non-residents and previously listed in an international exchange</w:t>
      </w:r>
      <w:r w:rsidR="00E96BFB" w:rsidRPr="0001172B">
        <w:rPr>
          <w:rFonts w:ascii="Calibri" w:hAnsi="Calibri"/>
          <w:sz w:val="24"/>
          <w:szCs w:val="17"/>
        </w:rPr>
        <w:t xml:space="preserve"> shall likewise be reflected.</w:t>
      </w:r>
      <w:r w:rsidR="00952D65" w:rsidRPr="0001172B">
        <w:rPr>
          <w:rFonts w:ascii="Calibri" w:hAnsi="Calibri"/>
          <w:sz w:val="24"/>
          <w:szCs w:val="17"/>
        </w:rPr>
        <w:t xml:space="preserve"> </w:t>
      </w:r>
    </w:p>
    <w:p w:rsidR="0012151C" w:rsidRPr="0001172B" w:rsidRDefault="0012151C" w:rsidP="00707578">
      <w:pPr>
        <w:tabs>
          <w:tab w:val="left" w:pos="720"/>
        </w:tabs>
        <w:jc w:val="both"/>
        <w:rPr>
          <w:rFonts w:ascii="Calibri" w:hAnsi="Calibri"/>
          <w:sz w:val="24"/>
          <w:szCs w:val="17"/>
        </w:rPr>
      </w:pPr>
    </w:p>
    <w:p w:rsidR="008F0F12" w:rsidRPr="0001172B" w:rsidRDefault="00707578" w:rsidP="00707578">
      <w:pPr>
        <w:tabs>
          <w:tab w:val="left" w:pos="720"/>
        </w:tabs>
        <w:jc w:val="both"/>
        <w:rPr>
          <w:rFonts w:ascii="Calibri" w:hAnsi="Calibri"/>
          <w:sz w:val="24"/>
          <w:szCs w:val="17"/>
        </w:rPr>
      </w:pPr>
      <w:r w:rsidRPr="0001172B">
        <w:rPr>
          <w:rFonts w:ascii="Calibri" w:hAnsi="Calibri"/>
          <w:sz w:val="24"/>
          <w:szCs w:val="17"/>
        </w:rPr>
        <w:lastRenderedPageBreak/>
        <w:tab/>
      </w:r>
    </w:p>
    <w:p w:rsidR="00707578" w:rsidRPr="0001172B" w:rsidRDefault="008F0F12" w:rsidP="00707578">
      <w:pPr>
        <w:tabs>
          <w:tab w:val="left" w:pos="720"/>
        </w:tabs>
        <w:jc w:val="both"/>
        <w:rPr>
          <w:rFonts w:ascii="Calibri" w:hAnsi="Calibri"/>
          <w:sz w:val="24"/>
          <w:szCs w:val="17"/>
        </w:rPr>
      </w:pPr>
      <w:r w:rsidRPr="0001172B">
        <w:rPr>
          <w:rFonts w:ascii="Calibri" w:hAnsi="Calibri"/>
          <w:sz w:val="24"/>
          <w:szCs w:val="17"/>
        </w:rPr>
        <w:tab/>
      </w:r>
      <w:r w:rsidR="00707578" w:rsidRPr="0001172B">
        <w:rPr>
          <w:rFonts w:ascii="Calibri" w:hAnsi="Calibri"/>
          <w:sz w:val="24"/>
          <w:szCs w:val="17"/>
        </w:rPr>
        <w:t xml:space="preserve">The </w:t>
      </w:r>
      <w:r w:rsidR="00820604" w:rsidRPr="0001172B">
        <w:rPr>
          <w:rFonts w:ascii="Calibri" w:hAnsi="Calibri"/>
          <w:sz w:val="24"/>
          <w:szCs w:val="17"/>
        </w:rPr>
        <w:t>changes</w:t>
      </w:r>
      <w:r w:rsidR="00707578" w:rsidRPr="0001172B">
        <w:rPr>
          <w:rFonts w:ascii="Calibri" w:hAnsi="Calibri"/>
          <w:sz w:val="24"/>
          <w:szCs w:val="17"/>
        </w:rPr>
        <w:t xml:space="preserve"> </w:t>
      </w:r>
      <w:r w:rsidR="008C3864" w:rsidRPr="0001172B">
        <w:rPr>
          <w:rFonts w:ascii="Calibri" w:hAnsi="Calibri"/>
          <w:sz w:val="24"/>
          <w:szCs w:val="17"/>
        </w:rPr>
        <w:t>shall be reported to the BSP</w:t>
      </w:r>
      <w:r w:rsidR="00DD7268" w:rsidRPr="0001172B">
        <w:rPr>
          <w:rFonts w:ascii="Calibri" w:hAnsi="Calibri"/>
          <w:sz w:val="24"/>
          <w:szCs w:val="17"/>
        </w:rPr>
        <w:t>-IOD</w:t>
      </w:r>
      <w:r w:rsidR="00707578" w:rsidRPr="0001172B">
        <w:rPr>
          <w:rFonts w:ascii="Calibri" w:hAnsi="Calibri"/>
          <w:sz w:val="24"/>
          <w:szCs w:val="17"/>
        </w:rPr>
        <w:t xml:space="preserve"> by the </w:t>
      </w:r>
      <w:r w:rsidR="004D7D09" w:rsidRPr="0001172B">
        <w:rPr>
          <w:rFonts w:ascii="Calibri" w:hAnsi="Calibri"/>
          <w:sz w:val="24"/>
          <w:szCs w:val="17"/>
        </w:rPr>
        <w:t>registering</w:t>
      </w:r>
      <w:r w:rsidR="00707578" w:rsidRPr="0001172B">
        <w:rPr>
          <w:rFonts w:ascii="Calibri" w:hAnsi="Calibri"/>
          <w:sz w:val="24"/>
          <w:szCs w:val="17"/>
        </w:rPr>
        <w:t xml:space="preserve"> bank within </w:t>
      </w:r>
      <w:r w:rsidR="00707578" w:rsidRPr="0001172B">
        <w:rPr>
          <w:rFonts w:ascii="Calibri" w:hAnsi="Calibri"/>
          <w:sz w:val="24"/>
          <w:szCs w:val="17"/>
        </w:rPr>
        <w:br/>
        <w:t xml:space="preserve">two (2) banking days from </w:t>
      </w:r>
      <w:r w:rsidR="00352B3C" w:rsidRPr="0001172B">
        <w:rPr>
          <w:rFonts w:ascii="Calibri" w:hAnsi="Calibri"/>
          <w:sz w:val="24"/>
          <w:szCs w:val="17"/>
        </w:rPr>
        <w:t xml:space="preserve">registration/settlement/actual remittance date (as applicable) </w:t>
      </w:r>
      <w:r w:rsidR="00707578" w:rsidRPr="0001172B">
        <w:rPr>
          <w:rFonts w:ascii="Calibri" w:hAnsi="Calibri"/>
          <w:sz w:val="24"/>
          <w:szCs w:val="17"/>
        </w:rPr>
        <w:t xml:space="preserve">under the </w:t>
      </w:r>
      <w:r w:rsidR="004D7D09" w:rsidRPr="0001172B">
        <w:rPr>
          <w:rFonts w:ascii="Calibri" w:hAnsi="Calibri" w:cs="Arial"/>
          <w:sz w:val="24"/>
          <w:szCs w:val="24"/>
        </w:rPr>
        <w:t xml:space="preserve">Report on </w:t>
      </w:r>
      <w:r w:rsidR="004A1ADC" w:rsidRPr="0001172B">
        <w:rPr>
          <w:rFonts w:ascii="Calibri" w:hAnsi="Calibri" w:cs="Arial"/>
          <w:sz w:val="24"/>
          <w:szCs w:val="24"/>
        </w:rPr>
        <w:t xml:space="preserve">Investments Registered </w:t>
      </w:r>
      <w:r w:rsidR="00E0119A" w:rsidRPr="0001172B">
        <w:rPr>
          <w:rFonts w:ascii="Calibri" w:hAnsi="Calibri" w:cs="Arial"/>
          <w:sz w:val="24"/>
          <w:szCs w:val="24"/>
        </w:rPr>
        <w:t>with</w:t>
      </w:r>
      <w:r w:rsidR="004A1ADC" w:rsidRPr="0001172B">
        <w:rPr>
          <w:rFonts w:ascii="Calibri" w:hAnsi="Calibri" w:cs="Arial"/>
          <w:sz w:val="24"/>
          <w:szCs w:val="24"/>
        </w:rPr>
        <w:t xml:space="preserve"> AABs</w:t>
      </w:r>
      <w:r w:rsidR="00820604" w:rsidRPr="0001172B">
        <w:rPr>
          <w:rFonts w:ascii="Calibri" w:hAnsi="Calibri"/>
          <w:sz w:val="24"/>
          <w:szCs w:val="17"/>
        </w:rPr>
        <w:t>.</w:t>
      </w:r>
    </w:p>
    <w:p w:rsidR="00707578" w:rsidRPr="0001172B" w:rsidRDefault="00707578" w:rsidP="00952D65">
      <w:pPr>
        <w:tabs>
          <w:tab w:val="left" w:pos="720"/>
        </w:tabs>
        <w:jc w:val="both"/>
        <w:rPr>
          <w:rFonts w:ascii="Calibri" w:hAnsi="Calibri"/>
          <w:sz w:val="24"/>
          <w:szCs w:val="17"/>
        </w:rPr>
      </w:pPr>
    </w:p>
    <w:p w:rsidR="009674D5" w:rsidRPr="0001172B" w:rsidRDefault="009674D5" w:rsidP="003A1118">
      <w:pPr>
        <w:numPr>
          <w:ilvl w:val="0"/>
          <w:numId w:val="4"/>
        </w:numPr>
        <w:ind w:left="0" w:firstLine="360"/>
        <w:jc w:val="both"/>
        <w:rPr>
          <w:rFonts w:ascii="Calibri" w:hAnsi="Calibri"/>
          <w:sz w:val="24"/>
          <w:szCs w:val="17"/>
        </w:rPr>
      </w:pPr>
      <w:r w:rsidRPr="0001172B">
        <w:rPr>
          <w:rFonts w:ascii="Calibri" w:hAnsi="Calibri"/>
          <w:sz w:val="24"/>
          <w:szCs w:val="17"/>
        </w:rPr>
        <w:t xml:space="preserve">Registration covering investments in peso time deposits shall </w:t>
      </w:r>
      <w:r w:rsidR="00820604" w:rsidRPr="0001172B">
        <w:rPr>
          <w:rFonts w:ascii="Calibri" w:hAnsi="Calibri"/>
          <w:sz w:val="24"/>
          <w:szCs w:val="17"/>
        </w:rPr>
        <w:t xml:space="preserve">also </w:t>
      </w:r>
      <w:r w:rsidRPr="0001172B">
        <w:rPr>
          <w:rFonts w:ascii="Calibri" w:hAnsi="Calibri"/>
          <w:sz w:val="24"/>
          <w:szCs w:val="17"/>
        </w:rPr>
        <w:t>reflect</w:t>
      </w:r>
      <w:r w:rsidR="008C3864" w:rsidRPr="0001172B">
        <w:rPr>
          <w:rFonts w:ascii="Calibri" w:hAnsi="Calibri"/>
          <w:sz w:val="24"/>
          <w:szCs w:val="17"/>
        </w:rPr>
        <w:t xml:space="preserve">: </w:t>
      </w:r>
      <w:r w:rsidR="008C3864" w:rsidRPr="0001172B">
        <w:rPr>
          <w:rFonts w:ascii="Calibri" w:hAnsi="Calibri"/>
          <w:sz w:val="24"/>
          <w:szCs w:val="17"/>
        </w:rPr>
        <w:br/>
        <w:t xml:space="preserve">(a) </w:t>
      </w:r>
      <w:r w:rsidR="00CC27BF" w:rsidRPr="0001172B">
        <w:rPr>
          <w:rFonts w:ascii="Calibri" w:hAnsi="Calibri"/>
          <w:sz w:val="24"/>
          <w:szCs w:val="17"/>
        </w:rPr>
        <w:t>extensions/</w:t>
      </w:r>
      <w:r w:rsidRPr="0001172B">
        <w:rPr>
          <w:rFonts w:ascii="Calibri" w:hAnsi="Calibri"/>
          <w:sz w:val="24"/>
          <w:szCs w:val="17"/>
        </w:rPr>
        <w:t>roll-overs</w:t>
      </w:r>
      <w:r w:rsidR="00D70BD2" w:rsidRPr="0001172B">
        <w:rPr>
          <w:rStyle w:val="FootnoteReference"/>
          <w:rFonts w:ascii="Calibri" w:hAnsi="Calibri"/>
          <w:sz w:val="24"/>
          <w:szCs w:val="17"/>
        </w:rPr>
        <w:footnoteReference w:id="4"/>
      </w:r>
      <w:r w:rsidRPr="0001172B">
        <w:rPr>
          <w:rFonts w:ascii="Calibri" w:hAnsi="Calibri"/>
          <w:sz w:val="24"/>
          <w:szCs w:val="17"/>
        </w:rPr>
        <w:t xml:space="preserve"> of the investment</w:t>
      </w:r>
      <w:r w:rsidR="00CD1DD2" w:rsidRPr="0001172B">
        <w:rPr>
          <w:rFonts w:ascii="Calibri" w:hAnsi="Calibri"/>
          <w:sz w:val="24"/>
          <w:szCs w:val="17"/>
        </w:rPr>
        <w:t>,</w:t>
      </w:r>
      <w:r w:rsidR="00820604" w:rsidRPr="0001172B">
        <w:rPr>
          <w:rFonts w:ascii="Calibri" w:hAnsi="Calibri"/>
          <w:sz w:val="24"/>
          <w:szCs w:val="17"/>
        </w:rPr>
        <w:t xml:space="preserve"> if any</w:t>
      </w:r>
      <w:r w:rsidR="008C3864" w:rsidRPr="0001172B">
        <w:rPr>
          <w:rFonts w:ascii="Calibri" w:hAnsi="Calibri"/>
          <w:sz w:val="24"/>
          <w:szCs w:val="17"/>
        </w:rPr>
        <w:t>;</w:t>
      </w:r>
      <w:r w:rsidRPr="0001172B">
        <w:rPr>
          <w:rFonts w:ascii="Calibri" w:hAnsi="Calibri"/>
          <w:sz w:val="24"/>
          <w:szCs w:val="17"/>
        </w:rPr>
        <w:t xml:space="preserve"> or</w:t>
      </w:r>
      <w:r w:rsidR="008C3864" w:rsidRPr="0001172B">
        <w:rPr>
          <w:rFonts w:ascii="Calibri" w:hAnsi="Calibri"/>
          <w:sz w:val="24"/>
          <w:szCs w:val="17"/>
        </w:rPr>
        <w:t xml:space="preserve"> (b)</w:t>
      </w:r>
      <w:r w:rsidRPr="0001172B">
        <w:rPr>
          <w:rFonts w:ascii="Calibri" w:hAnsi="Calibri"/>
          <w:sz w:val="24"/>
          <w:szCs w:val="17"/>
        </w:rPr>
        <w:t xml:space="preserve"> cancellation </w:t>
      </w:r>
      <w:r w:rsidR="008C3864" w:rsidRPr="0001172B">
        <w:rPr>
          <w:rFonts w:ascii="Calibri" w:hAnsi="Calibri"/>
          <w:sz w:val="24"/>
          <w:szCs w:val="17"/>
        </w:rPr>
        <w:t xml:space="preserve">of </w:t>
      </w:r>
      <w:r w:rsidR="00820604" w:rsidRPr="0001172B">
        <w:rPr>
          <w:rFonts w:ascii="Calibri" w:hAnsi="Calibri"/>
          <w:sz w:val="24"/>
          <w:szCs w:val="17"/>
        </w:rPr>
        <w:t>the registration for</w:t>
      </w:r>
      <w:r w:rsidR="008C3864" w:rsidRPr="0001172B">
        <w:rPr>
          <w:rFonts w:ascii="Calibri" w:hAnsi="Calibri"/>
          <w:sz w:val="24"/>
          <w:szCs w:val="17"/>
        </w:rPr>
        <w:t xml:space="preserve"> such investment</w:t>
      </w:r>
      <w:r w:rsidR="00820604" w:rsidRPr="0001172B">
        <w:rPr>
          <w:rFonts w:ascii="Calibri" w:hAnsi="Calibri"/>
          <w:sz w:val="24"/>
          <w:szCs w:val="17"/>
        </w:rPr>
        <w:t>s</w:t>
      </w:r>
      <w:r w:rsidR="008C3864" w:rsidRPr="0001172B">
        <w:rPr>
          <w:rFonts w:ascii="Calibri" w:hAnsi="Calibri"/>
          <w:sz w:val="24"/>
          <w:szCs w:val="17"/>
        </w:rPr>
        <w:t xml:space="preserve"> (if </w:t>
      </w:r>
      <w:r w:rsidRPr="0001172B">
        <w:rPr>
          <w:rFonts w:ascii="Calibri" w:hAnsi="Calibri"/>
          <w:sz w:val="24"/>
          <w:szCs w:val="17"/>
        </w:rPr>
        <w:t>deposits are pre-terminated before 90 days).</w:t>
      </w:r>
      <w:r w:rsidR="00707578" w:rsidRPr="0001172B">
        <w:rPr>
          <w:rFonts w:ascii="Calibri" w:hAnsi="Calibri"/>
          <w:sz w:val="24"/>
          <w:szCs w:val="17"/>
        </w:rPr>
        <w:t xml:space="preserve"> </w:t>
      </w:r>
    </w:p>
    <w:p w:rsidR="009674D5" w:rsidRPr="0001172B" w:rsidRDefault="009674D5" w:rsidP="00952D65">
      <w:pPr>
        <w:tabs>
          <w:tab w:val="left" w:pos="720"/>
        </w:tabs>
        <w:jc w:val="both"/>
        <w:rPr>
          <w:rFonts w:ascii="Calibri" w:hAnsi="Calibri"/>
          <w:sz w:val="24"/>
          <w:szCs w:val="17"/>
        </w:rPr>
      </w:pPr>
    </w:p>
    <w:p w:rsidR="00B4708B" w:rsidRPr="00FD4A49" w:rsidRDefault="006572C3" w:rsidP="00C65AEC">
      <w:pPr>
        <w:numPr>
          <w:ilvl w:val="0"/>
          <w:numId w:val="4"/>
        </w:numPr>
        <w:ind w:left="0" w:firstLine="360"/>
        <w:jc w:val="both"/>
        <w:rPr>
          <w:rFonts w:ascii="Calibri" w:hAnsi="Calibri" w:cs="Arial"/>
          <w:sz w:val="24"/>
          <w:szCs w:val="24"/>
        </w:rPr>
      </w:pPr>
      <w:r w:rsidRPr="00FD4A49">
        <w:rPr>
          <w:rFonts w:ascii="Calibri" w:hAnsi="Calibri" w:cs="Arial"/>
          <w:sz w:val="24"/>
          <w:szCs w:val="24"/>
        </w:rPr>
        <w:t xml:space="preserve">For </w:t>
      </w:r>
      <w:r w:rsidR="00D3703A" w:rsidRPr="00FD4A49">
        <w:rPr>
          <w:rFonts w:ascii="Calibri" w:hAnsi="Calibri" w:cs="Arial"/>
          <w:sz w:val="24"/>
          <w:szCs w:val="24"/>
        </w:rPr>
        <w:t xml:space="preserve">instruments </w:t>
      </w:r>
      <w:r w:rsidR="001C657A" w:rsidRPr="00FD4A49">
        <w:rPr>
          <w:rFonts w:ascii="Calibri" w:hAnsi="Calibri" w:cs="Arial"/>
          <w:sz w:val="24"/>
          <w:szCs w:val="24"/>
        </w:rPr>
        <w:t xml:space="preserve">used as collateral </w:t>
      </w:r>
      <w:r w:rsidR="00602B3C" w:rsidRPr="00FD4A49">
        <w:rPr>
          <w:rFonts w:ascii="Calibri" w:hAnsi="Calibri" w:cs="Arial"/>
          <w:sz w:val="24"/>
          <w:szCs w:val="24"/>
        </w:rPr>
        <w:t xml:space="preserve">acquired from non-residents and residents </w:t>
      </w:r>
      <w:r w:rsidR="00B4708B" w:rsidRPr="00FD4A49">
        <w:rPr>
          <w:rFonts w:ascii="Calibri" w:hAnsi="Calibri" w:cs="Arial"/>
          <w:sz w:val="24"/>
          <w:szCs w:val="24"/>
        </w:rPr>
        <w:t>involving transfer of legal/beneficial ownership of the collateral to the non-resident investor/transfer</w:t>
      </w:r>
      <w:r w:rsidR="0042380F">
        <w:rPr>
          <w:rFonts w:ascii="Calibri" w:hAnsi="Calibri" w:cs="Arial"/>
          <w:sz w:val="24"/>
          <w:szCs w:val="24"/>
        </w:rPr>
        <w:t>ee</w:t>
      </w:r>
      <w:r w:rsidR="00B4708B" w:rsidRPr="00FD4A49">
        <w:rPr>
          <w:rFonts w:ascii="Calibri" w:hAnsi="Calibri" w:cs="Arial"/>
          <w:sz w:val="24"/>
          <w:szCs w:val="24"/>
        </w:rPr>
        <w:t>/</w:t>
      </w:r>
      <w:r w:rsidR="0042380F">
        <w:rPr>
          <w:rFonts w:ascii="Calibri" w:hAnsi="Calibri" w:cs="Arial"/>
          <w:sz w:val="24"/>
          <w:szCs w:val="24"/>
        </w:rPr>
        <w:t>lend</w:t>
      </w:r>
      <w:r w:rsidR="00B4708B" w:rsidRPr="00FD4A49">
        <w:rPr>
          <w:rFonts w:ascii="Calibri" w:hAnsi="Calibri" w:cs="Arial"/>
          <w:sz w:val="24"/>
          <w:szCs w:val="24"/>
        </w:rPr>
        <w:t>er</w:t>
      </w:r>
      <w:r w:rsidRPr="00FD4A49">
        <w:rPr>
          <w:rFonts w:ascii="Calibri" w:hAnsi="Calibri" w:cs="Arial"/>
          <w:sz w:val="24"/>
          <w:szCs w:val="24"/>
        </w:rPr>
        <w:t xml:space="preserve">, the </w:t>
      </w:r>
      <w:r w:rsidR="00EA5F8D" w:rsidRPr="00FD4A49">
        <w:rPr>
          <w:rFonts w:ascii="Calibri" w:hAnsi="Calibri" w:cs="Arial"/>
          <w:sz w:val="24"/>
          <w:szCs w:val="24"/>
        </w:rPr>
        <w:t xml:space="preserve">registering </w:t>
      </w:r>
      <w:r w:rsidR="00270D5A" w:rsidRPr="00FD4A49">
        <w:rPr>
          <w:rFonts w:ascii="Calibri" w:hAnsi="Calibri" w:cs="Arial"/>
          <w:sz w:val="24"/>
          <w:szCs w:val="24"/>
        </w:rPr>
        <w:t>AAB</w:t>
      </w:r>
      <w:r w:rsidR="00EA5F8D" w:rsidRPr="00FD4A49">
        <w:rPr>
          <w:rFonts w:ascii="Calibri" w:hAnsi="Calibri" w:cs="Arial"/>
          <w:sz w:val="24"/>
          <w:szCs w:val="24"/>
        </w:rPr>
        <w:t xml:space="preserve"> shall</w:t>
      </w:r>
      <w:r w:rsidR="00EB177B" w:rsidRPr="00FD4A49">
        <w:rPr>
          <w:rFonts w:ascii="Calibri" w:hAnsi="Calibri" w:cs="Arial"/>
          <w:sz w:val="24"/>
          <w:szCs w:val="24"/>
        </w:rPr>
        <w:t>:</w:t>
      </w:r>
      <w:r w:rsidR="00EA5F8D" w:rsidRPr="00FD4A49">
        <w:rPr>
          <w:rFonts w:ascii="Calibri" w:hAnsi="Calibri" w:cs="Arial"/>
          <w:sz w:val="24"/>
          <w:szCs w:val="24"/>
        </w:rPr>
        <w:t xml:space="preserve"> (a) annotate the </w:t>
      </w:r>
      <w:r w:rsidRPr="00FD4A49">
        <w:rPr>
          <w:rFonts w:ascii="Calibri" w:hAnsi="Calibri" w:cs="Arial"/>
          <w:sz w:val="24"/>
          <w:szCs w:val="24"/>
        </w:rPr>
        <w:t>original BSRD</w:t>
      </w:r>
      <w:r w:rsidR="003373EA" w:rsidRPr="00FD4A49">
        <w:rPr>
          <w:rFonts w:ascii="Calibri" w:hAnsi="Calibri" w:cs="Arial"/>
          <w:sz w:val="24"/>
          <w:szCs w:val="24"/>
        </w:rPr>
        <w:t>/ledger</w:t>
      </w:r>
      <w:r w:rsidRPr="00FD4A49">
        <w:rPr>
          <w:rFonts w:ascii="Calibri" w:hAnsi="Calibri" w:cs="Arial"/>
          <w:sz w:val="24"/>
          <w:szCs w:val="24"/>
        </w:rPr>
        <w:t xml:space="preserve"> </w:t>
      </w:r>
      <w:r w:rsidR="00EB177B" w:rsidRPr="00FD4A49">
        <w:rPr>
          <w:rFonts w:ascii="Calibri" w:hAnsi="Calibri" w:cs="Arial"/>
          <w:sz w:val="24"/>
          <w:szCs w:val="24"/>
        </w:rPr>
        <w:t xml:space="preserve">of the original </w:t>
      </w:r>
      <w:r w:rsidR="00474A24" w:rsidRPr="00FD4A49">
        <w:rPr>
          <w:rFonts w:ascii="Calibri" w:hAnsi="Calibri" w:cs="Arial"/>
          <w:sz w:val="24"/>
          <w:szCs w:val="24"/>
        </w:rPr>
        <w:t xml:space="preserve">non-resident </w:t>
      </w:r>
      <w:r w:rsidR="00EB177B" w:rsidRPr="00FD4A49">
        <w:rPr>
          <w:rFonts w:ascii="Calibri" w:hAnsi="Calibri" w:cs="Arial"/>
          <w:sz w:val="24"/>
          <w:szCs w:val="24"/>
        </w:rPr>
        <w:t>investor</w:t>
      </w:r>
      <w:r w:rsidR="007676D4" w:rsidRPr="00FD4A49">
        <w:rPr>
          <w:rFonts w:ascii="Calibri" w:hAnsi="Calibri" w:cs="Arial"/>
          <w:sz w:val="24"/>
          <w:szCs w:val="24"/>
        </w:rPr>
        <w:t>/transferor</w:t>
      </w:r>
      <w:r w:rsidR="007C52D6" w:rsidRPr="00FD4A49">
        <w:rPr>
          <w:rFonts w:ascii="Calibri" w:hAnsi="Calibri" w:cs="Arial"/>
          <w:sz w:val="24"/>
          <w:szCs w:val="24"/>
        </w:rPr>
        <w:t>/borrower</w:t>
      </w:r>
      <w:r w:rsidR="00EB177B" w:rsidRPr="00FD4A49">
        <w:rPr>
          <w:rFonts w:ascii="Calibri" w:hAnsi="Calibri" w:cs="Arial"/>
          <w:sz w:val="24"/>
          <w:szCs w:val="24"/>
        </w:rPr>
        <w:t xml:space="preserve"> </w:t>
      </w:r>
      <w:r w:rsidR="00820604" w:rsidRPr="00FD4A49">
        <w:rPr>
          <w:rFonts w:ascii="Calibri" w:hAnsi="Calibri" w:cs="Arial"/>
          <w:sz w:val="24"/>
          <w:szCs w:val="24"/>
        </w:rPr>
        <w:t>to reflect such transfer</w:t>
      </w:r>
      <w:r w:rsidR="00EA5F8D" w:rsidRPr="00FD4A49">
        <w:rPr>
          <w:rFonts w:ascii="Calibri" w:hAnsi="Calibri" w:cs="Arial"/>
          <w:sz w:val="24"/>
          <w:szCs w:val="24"/>
        </w:rPr>
        <w:t>;</w:t>
      </w:r>
      <w:r w:rsidR="007364CA" w:rsidRPr="00FD4A49">
        <w:rPr>
          <w:rFonts w:ascii="Calibri" w:hAnsi="Calibri" w:cs="Arial"/>
          <w:sz w:val="24"/>
          <w:szCs w:val="24"/>
        </w:rPr>
        <w:t xml:space="preserve"> and</w:t>
      </w:r>
      <w:r w:rsidR="00474A24" w:rsidRPr="00FD4A49">
        <w:rPr>
          <w:rFonts w:ascii="Calibri" w:hAnsi="Calibri" w:cs="Arial"/>
          <w:sz w:val="24"/>
          <w:szCs w:val="24"/>
        </w:rPr>
        <w:t>/or</w:t>
      </w:r>
      <w:r w:rsidR="00EB177B" w:rsidRPr="00FD4A49">
        <w:rPr>
          <w:rFonts w:ascii="Calibri" w:hAnsi="Calibri" w:cs="Arial"/>
          <w:sz w:val="24"/>
          <w:szCs w:val="24"/>
        </w:rPr>
        <w:t xml:space="preserve"> </w:t>
      </w:r>
      <w:r w:rsidR="00EA5F8D" w:rsidRPr="00FD4A49">
        <w:rPr>
          <w:rFonts w:ascii="Calibri" w:hAnsi="Calibri" w:cs="Arial"/>
          <w:sz w:val="24"/>
          <w:szCs w:val="24"/>
        </w:rPr>
        <w:t>(b)</w:t>
      </w:r>
      <w:r w:rsidR="007364CA" w:rsidRPr="00FD4A49">
        <w:rPr>
          <w:rFonts w:ascii="Calibri" w:hAnsi="Calibri" w:cs="Arial"/>
          <w:sz w:val="24"/>
          <w:szCs w:val="24"/>
        </w:rPr>
        <w:t xml:space="preserve"> issue a new BSRD</w:t>
      </w:r>
      <w:r w:rsidR="00EA5F8D" w:rsidRPr="00FD4A49">
        <w:rPr>
          <w:rFonts w:ascii="Calibri" w:hAnsi="Calibri" w:cs="Arial"/>
          <w:sz w:val="24"/>
          <w:szCs w:val="24"/>
        </w:rPr>
        <w:t xml:space="preserve"> </w:t>
      </w:r>
      <w:r w:rsidR="007676D4" w:rsidRPr="00FD4A49">
        <w:rPr>
          <w:rFonts w:ascii="Calibri" w:hAnsi="Calibri" w:cs="Arial"/>
          <w:sz w:val="24"/>
          <w:szCs w:val="24"/>
        </w:rPr>
        <w:t>(</w:t>
      </w:r>
      <w:r w:rsidR="00EA5F8D" w:rsidRPr="00FD4A49">
        <w:rPr>
          <w:rFonts w:ascii="Calibri" w:hAnsi="Calibri" w:cs="Arial"/>
          <w:sz w:val="24"/>
          <w:szCs w:val="24"/>
        </w:rPr>
        <w:t>in case</w:t>
      </w:r>
      <w:r w:rsidR="00820604" w:rsidRPr="00FD4A49">
        <w:rPr>
          <w:rFonts w:ascii="Calibri" w:hAnsi="Calibri" w:cs="Arial"/>
          <w:sz w:val="24"/>
          <w:szCs w:val="24"/>
        </w:rPr>
        <w:t xml:space="preserve"> the</w:t>
      </w:r>
      <w:r w:rsidR="00EA5F8D" w:rsidRPr="00FD4A49">
        <w:rPr>
          <w:rFonts w:ascii="Calibri" w:hAnsi="Calibri" w:cs="Arial"/>
          <w:sz w:val="24"/>
          <w:szCs w:val="24"/>
        </w:rPr>
        <w:t xml:space="preserve"> </w:t>
      </w:r>
      <w:r w:rsidR="00EB177B" w:rsidRPr="00FD4A49">
        <w:rPr>
          <w:rFonts w:ascii="Calibri" w:hAnsi="Calibri" w:cs="Arial"/>
          <w:sz w:val="24"/>
          <w:szCs w:val="24"/>
        </w:rPr>
        <w:t xml:space="preserve">new </w:t>
      </w:r>
      <w:r w:rsidR="00474A24" w:rsidRPr="00FD4A49">
        <w:rPr>
          <w:rFonts w:ascii="Calibri" w:hAnsi="Calibri" w:cs="Arial"/>
          <w:sz w:val="24"/>
          <w:szCs w:val="24"/>
        </w:rPr>
        <w:t xml:space="preserve">non-resident </w:t>
      </w:r>
      <w:r w:rsidR="007676D4" w:rsidRPr="00FD4A49">
        <w:rPr>
          <w:rFonts w:ascii="Calibri" w:hAnsi="Calibri" w:cs="Arial"/>
          <w:sz w:val="24"/>
          <w:szCs w:val="24"/>
        </w:rPr>
        <w:t>investor/transferee</w:t>
      </w:r>
      <w:r w:rsidR="007C52D6" w:rsidRPr="00FD4A49">
        <w:rPr>
          <w:rFonts w:ascii="Calibri" w:hAnsi="Calibri" w:cs="Arial"/>
          <w:sz w:val="24"/>
          <w:szCs w:val="24"/>
        </w:rPr>
        <w:t>/lender</w:t>
      </w:r>
      <w:r w:rsidR="007676D4" w:rsidRPr="00FD4A49">
        <w:rPr>
          <w:rFonts w:ascii="Calibri" w:hAnsi="Calibri" w:cs="Arial"/>
          <w:sz w:val="24"/>
          <w:szCs w:val="24"/>
        </w:rPr>
        <w:t xml:space="preserve"> </w:t>
      </w:r>
      <w:r w:rsidR="007364CA" w:rsidRPr="00FD4A49">
        <w:rPr>
          <w:rFonts w:ascii="Calibri" w:hAnsi="Calibri" w:cs="Arial"/>
          <w:sz w:val="24"/>
          <w:szCs w:val="24"/>
        </w:rPr>
        <w:t>has no existing BSRD</w:t>
      </w:r>
      <w:r w:rsidR="007676D4" w:rsidRPr="00FD4A49">
        <w:rPr>
          <w:rFonts w:ascii="Calibri" w:hAnsi="Calibri" w:cs="Arial"/>
          <w:sz w:val="24"/>
          <w:szCs w:val="24"/>
        </w:rPr>
        <w:t>)</w:t>
      </w:r>
      <w:r w:rsidR="007364CA" w:rsidRPr="00FD4A49">
        <w:rPr>
          <w:rFonts w:ascii="Calibri" w:hAnsi="Calibri" w:cs="Arial"/>
          <w:sz w:val="24"/>
          <w:szCs w:val="24"/>
        </w:rPr>
        <w:t xml:space="preserve"> or annotate the BSRD/ledger </w:t>
      </w:r>
      <w:r w:rsidR="007676D4" w:rsidRPr="00FD4A49">
        <w:rPr>
          <w:rFonts w:ascii="Calibri" w:hAnsi="Calibri" w:cs="Arial"/>
          <w:sz w:val="24"/>
          <w:szCs w:val="24"/>
        </w:rPr>
        <w:t>(</w:t>
      </w:r>
      <w:r w:rsidR="00EB177B" w:rsidRPr="00FD4A49">
        <w:rPr>
          <w:rFonts w:ascii="Calibri" w:hAnsi="Calibri" w:cs="Arial"/>
          <w:sz w:val="24"/>
          <w:szCs w:val="24"/>
        </w:rPr>
        <w:t xml:space="preserve">in case new </w:t>
      </w:r>
      <w:r w:rsidR="00474A24" w:rsidRPr="00FD4A49">
        <w:rPr>
          <w:rFonts w:ascii="Calibri" w:hAnsi="Calibri" w:cs="Arial"/>
          <w:sz w:val="24"/>
          <w:szCs w:val="24"/>
        </w:rPr>
        <w:t xml:space="preserve">non-resident </w:t>
      </w:r>
      <w:r w:rsidR="00EB177B" w:rsidRPr="00FD4A49">
        <w:rPr>
          <w:rFonts w:ascii="Calibri" w:hAnsi="Calibri" w:cs="Arial"/>
          <w:sz w:val="24"/>
          <w:szCs w:val="24"/>
        </w:rPr>
        <w:t>investor</w:t>
      </w:r>
      <w:r w:rsidR="007676D4" w:rsidRPr="00FD4A49">
        <w:rPr>
          <w:rFonts w:ascii="Calibri" w:hAnsi="Calibri" w:cs="Arial"/>
          <w:sz w:val="24"/>
          <w:szCs w:val="24"/>
        </w:rPr>
        <w:t>/transferee</w:t>
      </w:r>
      <w:r w:rsidR="007C52D6" w:rsidRPr="00FD4A49">
        <w:rPr>
          <w:rFonts w:ascii="Calibri" w:hAnsi="Calibri" w:cs="Arial"/>
          <w:sz w:val="24"/>
          <w:szCs w:val="24"/>
        </w:rPr>
        <w:t>/lender</w:t>
      </w:r>
      <w:r w:rsidR="007676D4" w:rsidRPr="00FD4A49">
        <w:rPr>
          <w:rFonts w:ascii="Calibri" w:hAnsi="Calibri" w:cs="Arial"/>
          <w:sz w:val="24"/>
          <w:szCs w:val="24"/>
        </w:rPr>
        <w:t xml:space="preserve"> has an existing BSRD)</w:t>
      </w:r>
      <w:r w:rsidR="00EB177B" w:rsidRPr="00FD4A49">
        <w:rPr>
          <w:rFonts w:ascii="Calibri" w:hAnsi="Calibri" w:cs="Arial"/>
          <w:sz w:val="24"/>
          <w:szCs w:val="24"/>
        </w:rPr>
        <w:t>, to</w:t>
      </w:r>
      <w:r w:rsidRPr="00FD4A49">
        <w:rPr>
          <w:rFonts w:ascii="Calibri" w:hAnsi="Calibri" w:cs="Arial"/>
          <w:sz w:val="24"/>
          <w:szCs w:val="24"/>
        </w:rPr>
        <w:t xml:space="preserve"> </w:t>
      </w:r>
      <w:r w:rsidR="00EB177B" w:rsidRPr="00FD4A49">
        <w:rPr>
          <w:rFonts w:ascii="Calibri" w:hAnsi="Calibri" w:cs="Arial"/>
          <w:sz w:val="24"/>
          <w:szCs w:val="24"/>
        </w:rPr>
        <w:t xml:space="preserve">allow </w:t>
      </w:r>
      <w:r w:rsidR="00FD4A49" w:rsidRPr="00FD4A49">
        <w:rPr>
          <w:rFonts w:ascii="Calibri" w:hAnsi="Calibri" w:cs="Arial"/>
          <w:sz w:val="24"/>
          <w:szCs w:val="24"/>
        </w:rPr>
        <w:t xml:space="preserve">servicing using FX resources of AABs/AAB forex corps </w:t>
      </w:r>
      <w:r w:rsidR="00EB177B" w:rsidRPr="00FD4A49">
        <w:rPr>
          <w:rFonts w:ascii="Calibri" w:hAnsi="Calibri" w:cs="Arial"/>
          <w:sz w:val="24"/>
          <w:szCs w:val="24"/>
        </w:rPr>
        <w:t>b</w:t>
      </w:r>
      <w:r w:rsidR="007676D4" w:rsidRPr="00FD4A49">
        <w:rPr>
          <w:rFonts w:ascii="Calibri" w:hAnsi="Calibri" w:cs="Arial"/>
          <w:sz w:val="24"/>
          <w:szCs w:val="24"/>
        </w:rPr>
        <w:t>y the new</w:t>
      </w:r>
      <w:r w:rsidR="00474A24" w:rsidRPr="00FD4A49">
        <w:rPr>
          <w:rFonts w:ascii="Calibri" w:hAnsi="Calibri" w:cs="Arial"/>
          <w:sz w:val="24"/>
          <w:szCs w:val="24"/>
        </w:rPr>
        <w:t xml:space="preserve"> non-resident </w:t>
      </w:r>
      <w:r w:rsidR="007676D4" w:rsidRPr="00FD4A49">
        <w:rPr>
          <w:rFonts w:ascii="Calibri" w:hAnsi="Calibri" w:cs="Arial"/>
          <w:sz w:val="24"/>
          <w:szCs w:val="24"/>
        </w:rPr>
        <w:t>investor/</w:t>
      </w:r>
      <w:r w:rsidR="009E6D87">
        <w:rPr>
          <w:rFonts w:ascii="Calibri" w:hAnsi="Calibri" w:cs="Arial"/>
          <w:sz w:val="24"/>
          <w:szCs w:val="24"/>
        </w:rPr>
        <w:t xml:space="preserve"> </w:t>
      </w:r>
      <w:r w:rsidR="007676D4" w:rsidRPr="00FD4A49">
        <w:rPr>
          <w:rFonts w:ascii="Calibri" w:hAnsi="Calibri" w:cs="Arial"/>
          <w:sz w:val="24"/>
          <w:szCs w:val="24"/>
        </w:rPr>
        <w:t xml:space="preserve">transferee </w:t>
      </w:r>
      <w:r w:rsidR="000003B7">
        <w:rPr>
          <w:rFonts w:ascii="Calibri" w:hAnsi="Calibri" w:cs="Arial"/>
          <w:sz w:val="24"/>
          <w:szCs w:val="24"/>
        </w:rPr>
        <w:t>of</w:t>
      </w:r>
      <w:r w:rsidR="005151E7" w:rsidRPr="00FD4A49">
        <w:rPr>
          <w:rFonts w:ascii="Calibri" w:hAnsi="Calibri" w:cs="Arial"/>
          <w:sz w:val="24"/>
          <w:szCs w:val="24"/>
        </w:rPr>
        <w:t xml:space="preserve"> earnings accruing</w:t>
      </w:r>
      <w:r w:rsidR="007C52D6" w:rsidRPr="00FD4A49">
        <w:rPr>
          <w:rFonts w:ascii="Calibri" w:hAnsi="Calibri" w:cs="Arial"/>
          <w:sz w:val="24"/>
          <w:szCs w:val="24"/>
        </w:rPr>
        <w:t xml:space="preserve"> on the transaction/arrangement involved.</w:t>
      </w:r>
    </w:p>
    <w:p w:rsidR="00B4708B" w:rsidRPr="0001172B" w:rsidRDefault="00B4708B" w:rsidP="00B4708B">
      <w:pPr>
        <w:pStyle w:val="ListParagraph"/>
        <w:rPr>
          <w:rFonts w:ascii="Calibri" w:eastAsiaTheme="minorHAnsi" w:hAnsi="Calibri" w:cs="Calibri"/>
          <w:sz w:val="24"/>
          <w:szCs w:val="24"/>
        </w:rPr>
      </w:pPr>
    </w:p>
    <w:p w:rsidR="006E572F" w:rsidRPr="0001172B" w:rsidRDefault="00B4708B" w:rsidP="00A27E82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eastAsiaTheme="minorHAnsi" w:hAnsi="Calibri" w:cs="Calibri"/>
          <w:sz w:val="24"/>
          <w:szCs w:val="24"/>
        </w:rPr>
        <w:t>For the duration of the agreement involving instruments used as collateral</w:t>
      </w:r>
      <w:r w:rsidR="00A27E82" w:rsidRPr="0001172B">
        <w:rPr>
          <w:rFonts w:ascii="Calibri" w:eastAsiaTheme="minorHAnsi" w:hAnsi="Calibri" w:cs="Calibri"/>
          <w:sz w:val="24"/>
          <w:szCs w:val="24"/>
        </w:rPr>
        <w:t>, the AABs shall ensure that the terms of the agreement</w:t>
      </w:r>
      <w:r w:rsidR="00F303E6" w:rsidRPr="0001172B">
        <w:rPr>
          <w:rFonts w:ascii="Calibri" w:eastAsiaTheme="minorHAnsi" w:hAnsi="Calibri" w:cs="Calibri"/>
          <w:sz w:val="24"/>
          <w:szCs w:val="24"/>
        </w:rPr>
        <w:t>, as well as applicable provisions hereof,</w:t>
      </w:r>
      <w:r w:rsidR="00A27E82" w:rsidRPr="0001172B">
        <w:rPr>
          <w:rFonts w:ascii="Calibri" w:eastAsiaTheme="minorHAnsi" w:hAnsi="Calibri" w:cs="Calibri"/>
          <w:sz w:val="24"/>
          <w:szCs w:val="24"/>
        </w:rPr>
        <w:t xml:space="preserve"> will be complied with (e.g., sale of collateral). </w:t>
      </w:r>
      <w:r w:rsidRPr="0001172B">
        <w:rPr>
          <w:rFonts w:ascii="Calibri" w:eastAsiaTheme="minorHAnsi" w:hAnsi="Calibri" w:cs="Calibri"/>
          <w:sz w:val="24"/>
          <w:szCs w:val="24"/>
        </w:rPr>
        <w:t xml:space="preserve"> </w:t>
      </w:r>
      <w:r w:rsidR="007C52D6" w:rsidRPr="0001172B">
        <w:rPr>
          <w:rFonts w:ascii="Calibri" w:eastAsiaTheme="minorHAnsi" w:hAnsi="Calibri" w:cs="Calibri"/>
          <w:sz w:val="24"/>
          <w:szCs w:val="24"/>
        </w:rPr>
        <w:t xml:space="preserve"> </w:t>
      </w:r>
    </w:p>
    <w:p w:rsidR="00270D5A" w:rsidRPr="0001172B" w:rsidRDefault="00270D5A" w:rsidP="00270D5A">
      <w:pPr>
        <w:pStyle w:val="ListParagraph"/>
        <w:rPr>
          <w:rFonts w:ascii="Calibri" w:hAnsi="Calibri" w:cs="Arial"/>
          <w:sz w:val="24"/>
          <w:szCs w:val="24"/>
        </w:rPr>
      </w:pPr>
    </w:p>
    <w:p w:rsidR="00270D5A" w:rsidRPr="0001172B" w:rsidRDefault="00CD1DD2" w:rsidP="00270D5A">
      <w:pPr>
        <w:ind w:firstLine="360"/>
        <w:jc w:val="both"/>
        <w:rPr>
          <w:rFonts w:ascii="Calibri" w:hAnsi="Calibri" w:cs="Arial"/>
          <w:strike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 xml:space="preserve">Upon </w:t>
      </w:r>
      <w:r w:rsidR="00820604" w:rsidRPr="0001172B">
        <w:rPr>
          <w:rFonts w:ascii="Calibri" w:hAnsi="Calibri" w:cs="Arial"/>
          <w:sz w:val="24"/>
          <w:szCs w:val="24"/>
        </w:rPr>
        <w:t>the</w:t>
      </w:r>
      <w:r w:rsidR="00270D5A" w:rsidRPr="0001172B">
        <w:rPr>
          <w:rFonts w:ascii="Calibri" w:hAnsi="Calibri" w:cs="Arial"/>
          <w:sz w:val="24"/>
          <w:szCs w:val="24"/>
        </w:rPr>
        <w:t xml:space="preserve"> termination of </w:t>
      </w:r>
      <w:r w:rsidR="00820604" w:rsidRPr="0001172B">
        <w:rPr>
          <w:rFonts w:ascii="Calibri" w:hAnsi="Calibri" w:cs="Arial"/>
          <w:sz w:val="24"/>
          <w:szCs w:val="24"/>
        </w:rPr>
        <w:t xml:space="preserve">the </w:t>
      </w:r>
      <w:r w:rsidR="007676D4" w:rsidRPr="0001172B">
        <w:rPr>
          <w:rFonts w:ascii="Calibri" w:hAnsi="Calibri" w:cs="Arial"/>
          <w:sz w:val="24"/>
          <w:szCs w:val="24"/>
        </w:rPr>
        <w:t>contract</w:t>
      </w:r>
      <w:r w:rsidR="003203A5" w:rsidRPr="0001172B">
        <w:rPr>
          <w:rFonts w:ascii="Calibri" w:hAnsi="Calibri" w:cs="Arial"/>
          <w:sz w:val="24"/>
          <w:szCs w:val="24"/>
        </w:rPr>
        <w:t xml:space="preserve"> (as applicable)</w:t>
      </w:r>
      <w:r w:rsidR="00270D5A" w:rsidRPr="0001172B">
        <w:rPr>
          <w:rFonts w:ascii="Calibri" w:hAnsi="Calibri" w:cs="Arial"/>
          <w:sz w:val="24"/>
          <w:szCs w:val="24"/>
        </w:rPr>
        <w:t xml:space="preserve"> </w:t>
      </w:r>
      <w:r w:rsidR="007676D4" w:rsidRPr="0001172B">
        <w:rPr>
          <w:rFonts w:ascii="Calibri" w:hAnsi="Calibri" w:cs="Arial"/>
          <w:sz w:val="24"/>
          <w:szCs w:val="24"/>
        </w:rPr>
        <w:t xml:space="preserve">where the </w:t>
      </w:r>
      <w:r w:rsidR="00BC6FA3" w:rsidRPr="0001172B">
        <w:rPr>
          <w:rFonts w:ascii="Calibri" w:hAnsi="Calibri" w:cs="Arial"/>
          <w:sz w:val="24"/>
          <w:szCs w:val="24"/>
        </w:rPr>
        <w:t xml:space="preserve">new </w:t>
      </w:r>
      <w:r w:rsidR="008F0F12" w:rsidRPr="0001172B">
        <w:rPr>
          <w:rFonts w:ascii="Calibri" w:hAnsi="Calibri" w:cs="Arial"/>
          <w:sz w:val="24"/>
          <w:szCs w:val="24"/>
        </w:rPr>
        <w:t xml:space="preserve">non-resident </w:t>
      </w:r>
      <w:r w:rsidR="00BC6FA3" w:rsidRPr="0001172B">
        <w:rPr>
          <w:rFonts w:ascii="Calibri" w:hAnsi="Calibri" w:cs="Arial"/>
          <w:sz w:val="24"/>
          <w:szCs w:val="24"/>
        </w:rPr>
        <w:t>investor/</w:t>
      </w:r>
      <w:r w:rsidR="00266FA1" w:rsidRPr="0001172B">
        <w:rPr>
          <w:rFonts w:ascii="Calibri" w:hAnsi="Calibri" w:cs="Arial"/>
          <w:sz w:val="24"/>
          <w:szCs w:val="24"/>
        </w:rPr>
        <w:t>transferee</w:t>
      </w:r>
      <w:r w:rsidR="007C52D6" w:rsidRPr="0001172B">
        <w:rPr>
          <w:rFonts w:ascii="Calibri" w:hAnsi="Calibri" w:cs="Arial"/>
          <w:sz w:val="24"/>
          <w:szCs w:val="24"/>
        </w:rPr>
        <w:t>/lender</w:t>
      </w:r>
      <w:r w:rsidR="00266FA1" w:rsidRPr="0001172B">
        <w:rPr>
          <w:rFonts w:ascii="Calibri" w:hAnsi="Calibri" w:cs="Arial"/>
          <w:sz w:val="24"/>
          <w:szCs w:val="24"/>
        </w:rPr>
        <w:t xml:space="preserve"> shall return the same or equivalent securities</w:t>
      </w:r>
      <w:r w:rsidR="007676D4" w:rsidRPr="0001172B">
        <w:rPr>
          <w:rFonts w:ascii="Calibri" w:hAnsi="Calibri" w:cs="Arial"/>
          <w:sz w:val="24"/>
          <w:szCs w:val="24"/>
        </w:rPr>
        <w:t xml:space="preserve"> </w:t>
      </w:r>
      <w:r w:rsidR="00BC6FA3" w:rsidRPr="0001172B">
        <w:rPr>
          <w:rFonts w:ascii="Calibri" w:hAnsi="Calibri" w:cs="Arial"/>
          <w:sz w:val="24"/>
          <w:szCs w:val="24"/>
        </w:rPr>
        <w:t xml:space="preserve">to </w:t>
      </w:r>
      <w:r w:rsidR="007676D4" w:rsidRPr="0001172B">
        <w:rPr>
          <w:rFonts w:ascii="Calibri" w:hAnsi="Calibri" w:cs="Arial"/>
          <w:sz w:val="24"/>
          <w:szCs w:val="24"/>
        </w:rPr>
        <w:t xml:space="preserve">the </w:t>
      </w:r>
      <w:r w:rsidR="00BC6FA3" w:rsidRPr="0001172B">
        <w:rPr>
          <w:rFonts w:ascii="Calibri" w:hAnsi="Calibri" w:cs="Arial"/>
          <w:sz w:val="24"/>
          <w:szCs w:val="24"/>
        </w:rPr>
        <w:t>original investor/transferor</w:t>
      </w:r>
      <w:r w:rsidR="007C52D6" w:rsidRPr="0001172B">
        <w:rPr>
          <w:rFonts w:ascii="Calibri" w:hAnsi="Calibri" w:cs="Arial"/>
          <w:sz w:val="24"/>
          <w:szCs w:val="24"/>
        </w:rPr>
        <w:t>/borrower</w:t>
      </w:r>
      <w:r w:rsidR="00BC6FA3" w:rsidRPr="0001172B">
        <w:rPr>
          <w:rFonts w:ascii="Calibri" w:hAnsi="Calibri" w:cs="Arial"/>
          <w:sz w:val="24"/>
          <w:szCs w:val="24"/>
        </w:rPr>
        <w:t xml:space="preserve">, </w:t>
      </w:r>
      <w:r w:rsidR="00270D5A" w:rsidRPr="0001172B">
        <w:rPr>
          <w:rFonts w:ascii="Calibri" w:hAnsi="Calibri" w:cs="Arial"/>
          <w:sz w:val="24"/>
          <w:szCs w:val="24"/>
        </w:rPr>
        <w:t xml:space="preserve">the registering AAB shall </w:t>
      </w:r>
      <w:r w:rsidR="00B6283E" w:rsidRPr="0001172B">
        <w:rPr>
          <w:rFonts w:ascii="Calibri" w:hAnsi="Calibri" w:cs="Arial"/>
          <w:sz w:val="24"/>
          <w:szCs w:val="24"/>
        </w:rPr>
        <w:t>annotate the BSRD/ledger</w:t>
      </w:r>
      <w:r w:rsidR="00266FA1" w:rsidRPr="0001172B">
        <w:rPr>
          <w:rFonts w:ascii="Calibri" w:hAnsi="Calibri" w:cs="Arial"/>
          <w:sz w:val="24"/>
          <w:szCs w:val="24"/>
        </w:rPr>
        <w:t xml:space="preserve"> of the new </w:t>
      </w:r>
      <w:r w:rsidR="008F0F12" w:rsidRPr="0001172B">
        <w:rPr>
          <w:rFonts w:ascii="Calibri" w:hAnsi="Calibri" w:cs="Arial"/>
          <w:sz w:val="24"/>
          <w:szCs w:val="24"/>
        </w:rPr>
        <w:t xml:space="preserve">non-resident </w:t>
      </w:r>
      <w:r w:rsidR="00266FA1" w:rsidRPr="0001172B">
        <w:rPr>
          <w:rFonts w:ascii="Calibri" w:hAnsi="Calibri" w:cs="Arial"/>
          <w:sz w:val="24"/>
          <w:szCs w:val="24"/>
        </w:rPr>
        <w:t>investor/transferee</w:t>
      </w:r>
      <w:r w:rsidR="007C52D6" w:rsidRPr="0001172B">
        <w:rPr>
          <w:rFonts w:ascii="Calibri" w:hAnsi="Calibri" w:cs="Arial"/>
          <w:sz w:val="24"/>
          <w:szCs w:val="24"/>
        </w:rPr>
        <w:t>/lender</w:t>
      </w:r>
      <w:r w:rsidR="00A55C66" w:rsidRPr="0001172B">
        <w:rPr>
          <w:rFonts w:ascii="Calibri" w:hAnsi="Calibri" w:cs="Arial"/>
          <w:sz w:val="24"/>
          <w:szCs w:val="24"/>
        </w:rPr>
        <w:t xml:space="preserve"> </w:t>
      </w:r>
      <w:r w:rsidR="00266FA1" w:rsidRPr="0001172B">
        <w:rPr>
          <w:rFonts w:ascii="Calibri" w:hAnsi="Calibri" w:cs="Arial"/>
          <w:sz w:val="24"/>
          <w:szCs w:val="24"/>
        </w:rPr>
        <w:t>to cancel the registration of the same or equivalent securities to be returned to the original investor/transferor</w:t>
      </w:r>
      <w:r w:rsidR="007C52D6" w:rsidRPr="0001172B">
        <w:rPr>
          <w:rFonts w:ascii="Calibri" w:hAnsi="Calibri" w:cs="Arial"/>
          <w:sz w:val="24"/>
          <w:szCs w:val="24"/>
        </w:rPr>
        <w:t>/borrower</w:t>
      </w:r>
      <w:r w:rsidR="00270D5A" w:rsidRPr="0001172B">
        <w:rPr>
          <w:rFonts w:ascii="Calibri" w:hAnsi="Calibri" w:cs="Arial"/>
          <w:sz w:val="24"/>
          <w:szCs w:val="24"/>
        </w:rPr>
        <w:t>.</w:t>
      </w:r>
      <w:r w:rsidR="003A57DA" w:rsidRPr="0001172B">
        <w:rPr>
          <w:rFonts w:ascii="Calibri" w:hAnsi="Calibri" w:cs="Arial"/>
          <w:sz w:val="24"/>
          <w:szCs w:val="24"/>
        </w:rPr>
        <w:t xml:space="preserve"> The registering AAB </w:t>
      </w:r>
      <w:r w:rsidR="00266FA1" w:rsidRPr="0001172B">
        <w:rPr>
          <w:rFonts w:ascii="Calibri" w:hAnsi="Calibri" w:cs="Arial"/>
          <w:sz w:val="24"/>
          <w:szCs w:val="24"/>
        </w:rPr>
        <w:t xml:space="preserve">shall </w:t>
      </w:r>
      <w:r w:rsidR="00C6170B" w:rsidRPr="0001172B">
        <w:rPr>
          <w:rFonts w:ascii="Calibri" w:hAnsi="Calibri" w:cs="Arial"/>
          <w:sz w:val="24"/>
          <w:szCs w:val="24"/>
        </w:rPr>
        <w:t xml:space="preserve">annotate </w:t>
      </w:r>
      <w:r w:rsidR="00266FA1" w:rsidRPr="0001172B">
        <w:rPr>
          <w:rFonts w:ascii="Calibri" w:hAnsi="Calibri" w:cs="Arial"/>
          <w:sz w:val="24"/>
          <w:szCs w:val="24"/>
        </w:rPr>
        <w:t xml:space="preserve">the </w:t>
      </w:r>
      <w:r w:rsidR="003A57DA" w:rsidRPr="0001172B">
        <w:rPr>
          <w:rFonts w:ascii="Calibri" w:hAnsi="Calibri" w:cs="Arial"/>
          <w:sz w:val="24"/>
          <w:szCs w:val="24"/>
        </w:rPr>
        <w:t>BSRD of the original</w:t>
      </w:r>
      <w:r w:rsidR="008F0F12" w:rsidRPr="0001172B">
        <w:rPr>
          <w:rFonts w:ascii="Calibri" w:hAnsi="Calibri" w:cs="Arial"/>
          <w:sz w:val="24"/>
          <w:szCs w:val="24"/>
        </w:rPr>
        <w:t xml:space="preserve"> non-resident</w:t>
      </w:r>
      <w:r w:rsidR="003A57DA" w:rsidRPr="0001172B">
        <w:rPr>
          <w:rFonts w:ascii="Calibri" w:hAnsi="Calibri" w:cs="Arial"/>
          <w:sz w:val="24"/>
          <w:szCs w:val="24"/>
        </w:rPr>
        <w:t xml:space="preserve"> investor</w:t>
      </w:r>
      <w:r w:rsidR="007C52D6" w:rsidRPr="0001172B">
        <w:rPr>
          <w:rFonts w:ascii="Calibri" w:hAnsi="Calibri" w:cs="Arial"/>
          <w:sz w:val="24"/>
          <w:szCs w:val="24"/>
        </w:rPr>
        <w:t>/borrower</w:t>
      </w:r>
      <w:r w:rsidR="00266FA1" w:rsidRPr="0001172B">
        <w:rPr>
          <w:rFonts w:ascii="Calibri" w:hAnsi="Calibri" w:cs="Arial"/>
          <w:sz w:val="24"/>
          <w:szCs w:val="24"/>
        </w:rPr>
        <w:t xml:space="preserve"> for the securities</w:t>
      </w:r>
      <w:r w:rsidR="00C6170B" w:rsidRPr="0001172B">
        <w:rPr>
          <w:rFonts w:ascii="Calibri" w:hAnsi="Calibri" w:cs="Arial"/>
          <w:sz w:val="24"/>
          <w:szCs w:val="24"/>
        </w:rPr>
        <w:t xml:space="preserve"> returned</w:t>
      </w:r>
      <w:r w:rsidR="003A57DA" w:rsidRPr="0001172B">
        <w:rPr>
          <w:rFonts w:ascii="Calibri" w:hAnsi="Calibri" w:cs="Arial"/>
          <w:sz w:val="24"/>
          <w:szCs w:val="24"/>
        </w:rPr>
        <w:t>.</w:t>
      </w:r>
    </w:p>
    <w:p w:rsidR="00D22845" w:rsidRPr="0001172B" w:rsidRDefault="00D22845" w:rsidP="00D22845">
      <w:pPr>
        <w:jc w:val="both"/>
        <w:rPr>
          <w:rFonts w:ascii="Calibri" w:hAnsi="Calibri" w:cs="Arial"/>
          <w:sz w:val="24"/>
          <w:szCs w:val="24"/>
        </w:rPr>
      </w:pPr>
    </w:p>
    <w:p w:rsidR="00156191" w:rsidRPr="0001172B" w:rsidRDefault="00156191" w:rsidP="00156191">
      <w:pPr>
        <w:tabs>
          <w:tab w:val="left" w:pos="1170"/>
        </w:tabs>
        <w:ind w:left="720"/>
        <w:jc w:val="both"/>
        <w:rPr>
          <w:rFonts w:ascii="Calibri" w:hAnsi="Calibri" w:cs="Arial"/>
          <w:sz w:val="24"/>
          <w:szCs w:val="24"/>
        </w:rPr>
      </w:pPr>
    </w:p>
    <w:p w:rsidR="003373EA" w:rsidRPr="0001172B" w:rsidRDefault="004B3B93" w:rsidP="003A1118">
      <w:pPr>
        <w:numPr>
          <w:ilvl w:val="0"/>
          <w:numId w:val="5"/>
        </w:numPr>
        <w:jc w:val="both"/>
        <w:rPr>
          <w:rFonts w:ascii="Calibri" w:hAnsi="Calibri" w:cs="Arial"/>
          <w:b/>
          <w:sz w:val="24"/>
          <w:szCs w:val="24"/>
        </w:rPr>
      </w:pPr>
      <w:r w:rsidRPr="0001172B">
        <w:rPr>
          <w:rFonts w:ascii="Calibri" w:hAnsi="Calibri" w:cs="Arial"/>
          <w:b/>
          <w:sz w:val="24"/>
          <w:szCs w:val="24"/>
        </w:rPr>
        <w:t xml:space="preserve">Cancellation </w:t>
      </w:r>
      <w:r w:rsidR="003373EA" w:rsidRPr="0001172B">
        <w:rPr>
          <w:rFonts w:ascii="Calibri" w:hAnsi="Calibri" w:cs="Arial"/>
          <w:b/>
          <w:sz w:val="24"/>
          <w:szCs w:val="24"/>
        </w:rPr>
        <w:t>of BSRD</w:t>
      </w:r>
      <w:r w:rsidRPr="0001172B">
        <w:rPr>
          <w:rFonts w:ascii="Calibri" w:hAnsi="Calibri" w:cs="Arial"/>
          <w:b/>
          <w:sz w:val="24"/>
          <w:szCs w:val="24"/>
        </w:rPr>
        <w:t>s</w:t>
      </w:r>
      <w:r w:rsidR="00F2135B" w:rsidRPr="0001172B">
        <w:rPr>
          <w:rFonts w:ascii="Calibri" w:hAnsi="Calibri" w:cs="Arial"/>
          <w:b/>
          <w:sz w:val="24"/>
          <w:szCs w:val="24"/>
        </w:rPr>
        <w:t xml:space="preserve"> </w:t>
      </w:r>
      <w:r w:rsidR="003373EA" w:rsidRPr="0001172B">
        <w:rPr>
          <w:rFonts w:ascii="Calibri" w:hAnsi="Calibri" w:cs="Arial"/>
          <w:b/>
          <w:sz w:val="24"/>
          <w:szCs w:val="24"/>
        </w:rPr>
        <w:t xml:space="preserve"> </w:t>
      </w:r>
    </w:p>
    <w:p w:rsidR="003373EA" w:rsidRPr="0001172B" w:rsidRDefault="003373EA" w:rsidP="003373EA">
      <w:pPr>
        <w:tabs>
          <w:tab w:val="left" w:pos="360"/>
        </w:tabs>
        <w:jc w:val="both"/>
        <w:rPr>
          <w:rFonts w:ascii="Calibri" w:hAnsi="Calibri" w:cs="Arial"/>
          <w:sz w:val="24"/>
          <w:szCs w:val="24"/>
          <w:u w:val="single"/>
        </w:rPr>
      </w:pPr>
    </w:p>
    <w:p w:rsidR="003373EA" w:rsidRPr="0001172B" w:rsidRDefault="003373EA" w:rsidP="003373EA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 xml:space="preserve">For BSP-registered </w:t>
      </w:r>
      <w:r w:rsidR="00F2135B" w:rsidRPr="0001172B">
        <w:rPr>
          <w:rFonts w:ascii="Calibri" w:hAnsi="Calibri" w:cs="Arial"/>
          <w:sz w:val="24"/>
          <w:szCs w:val="24"/>
        </w:rPr>
        <w:t>inward</w:t>
      </w:r>
      <w:r w:rsidRPr="0001172B">
        <w:rPr>
          <w:rFonts w:ascii="Calibri" w:hAnsi="Calibri" w:cs="Arial"/>
          <w:sz w:val="24"/>
          <w:szCs w:val="24"/>
        </w:rPr>
        <w:t xml:space="preserve"> investments that have been fully divested by the</w:t>
      </w:r>
      <w:r w:rsidR="00CD1DD2" w:rsidRPr="0001172B">
        <w:rPr>
          <w:rFonts w:ascii="Calibri" w:hAnsi="Calibri" w:cs="Arial"/>
          <w:sz w:val="24"/>
          <w:szCs w:val="24"/>
        </w:rPr>
        <w:br/>
      </w:r>
      <w:r w:rsidR="00245CD4" w:rsidRPr="0001172B">
        <w:rPr>
          <w:rFonts w:ascii="Calibri" w:hAnsi="Calibri" w:cs="Arial"/>
          <w:sz w:val="24"/>
          <w:szCs w:val="24"/>
        </w:rPr>
        <w:t xml:space="preserve">non-resident </w:t>
      </w:r>
      <w:r w:rsidRPr="0001172B">
        <w:rPr>
          <w:rFonts w:ascii="Calibri" w:hAnsi="Calibri" w:cs="Arial"/>
          <w:sz w:val="24"/>
          <w:szCs w:val="24"/>
        </w:rPr>
        <w:t xml:space="preserve">investor, the </w:t>
      </w:r>
      <w:r w:rsidR="0005038D" w:rsidRPr="0001172B">
        <w:rPr>
          <w:rFonts w:ascii="Calibri" w:hAnsi="Calibri" w:cs="Arial"/>
          <w:sz w:val="24"/>
          <w:szCs w:val="24"/>
        </w:rPr>
        <w:t>designated registering</w:t>
      </w:r>
      <w:r w:rsidR="00245CD4" w:rsidRPr="0001172B">
        <w:rPr>
          <w:rFonts w:ascii="Calibri" w:hAnsi="Calibri" w:cs="Arial"/>
          <w:sz w:val="24"/>
          <w:szCs w:val="24"/>
        </w:rPr>
        <w:t xml:space="preserve"> AABs</w:t>
      </w:r>
      <w:r w:rsidRPr="0001172B">
        <w:rPr>
          <w:rFonts w:ascii="Calibri" w:hAnsi="Calibri" w:cs="Arial"/>
          <w:sz w:val="24"/>
          <w:szCs w:val="24"/>
        </w:rPr>
        <w:t xml:space="preserve"> shall surrender the original BSRD to the BSP</w:t>
      </w:r>
      <w:r w:rsidR="00DD7268" w:rsidRPr="0001172B">
        <w:rPr>
          <w:rFonts w:ascii="Calibri" w:hAnsi="Calibri" w:cs="Arial"/>
          <w:sz w:val="24"/>
          <w:szCs w:val="24"/>
        </w:rPr>
        <w:t>-IOD</w:t>
      </w:r>
      <w:r w:rsidRPr="0001172B">
        <w:rPr>
          <w:rFonts w:ascii="Calibri" w:hAnsi="Calibri" w:cs="Arial"/>
          <w:sz w:val="24"/>
          <w:szCs w:val="24"/>
        </w:rPr>
        <w:t xml:space="preserve"> for cancellation within </w:t>
      </w:r>
      <w:r w:rsidR="0005038D" w:rsidRPr="0001172B">
        <w:rPr>
          <w:rFonts w:ascii="Calibri" w:hAnsi="Calibri" w:cs="Arial"/>
          <w:sz w:val="24"/>
          <w:szCs w:val="24"/>
        </w:rPr>
        <w:t>five (5</w:t>
      </w:r>
      <w:r w:rsidRPr="0001172B">
        <w:rPr>
          <w:rFonts w:ascii="Calibri" w:hAnsi="Calibri" w:cs="Arial"/>
          <w:sz w:val="24"/>
          <w:szCs w:val="24"/>
        </w:rPr>
        <w:t xml:space="preserve">) banking days from date of full remittance of divestment proceeds. </w:t>
      </w:r>
    </w:p>
    <w:p w:rsidR="003373EA" w:rsidRPr="0001172B" w:rsidRDefault="003373EA" w:rsidP="00C73A83">
      <w:pPr>
        <w:tabs>
          <w:tab w:val="left" w:pos="720"/>
        </w:tabs>
        <w:jc w:val="both"/>
        <w:rPr>
          <w:rFonts w:ascii="Calibri" w:hAnsi="Calibri" w:cs="Arial"/>
          <w:sz w:val="24"/>
          <w:szCs w:val="24"/>
        </w:rPr>
      </w:pPr>
    </w:p>
    <w:p w:rsidR="0012151C" w:rsidRPr="0001172B" w:rsidRDefault="0012151C" w:rsidP="00C73A83">
      <w:pPr>
        <w:tabs>
          <w:tab w:val="left" w:pos="720"/>
        </w:tabs>
        <w:jc w:val="both"/>
        <w:rPr>
          <w:rFonts w:ascii="Calibri" w:hAnsi="Calibri" w:cs="Arial"/>
          <w:sz w:val="24"/>
          <w:szCs w:val="24"/>
        </w:rPr>
      </w:pPr>
    </w:p>
    <w:p w:rsidR="00B97FF2" w:rsidRPr="0001172B" w:rsidRDefault="00065862" w:rsidP="00B97FF2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u w:val="single"/>
        </w:rPr>
      </w:pPr>
      <w:r w:rsidRPr="0001172B">
        <w:rPr>
          <w:rFonts w:ascii="Calibri" w:hAnsi="Calibri" w:cs="Arial"/>
          <w:b/>
          <w:sz w:val="24"/>
          <w:szCs w:val="24"/>
        </w:rPr>
        <w:t>Repatriation of capital/</w:t>
      </w:r>
      <w:r w:rsidR="00B97FF2" w:rsidRPr="0001172B">
        <w:rPr>
          <w:rFonts w:ascii="Calibri" w:hAnsi="Calibri" w:cs="Arial"/>
          <w:b/>
          <w:sz w:val="24"/>
          <w:szCs w:val="24"/>
        </w:rPr>
        <w:t>remittance of related earnings</w:t>
      </w:r>
    </w:p>
    <w:p w:rsidR="00B97FF2" w:rsidRPr="0001172B" w:rsidRDefault="00B97FF2" w:rsidP="00B97FF2">
      <w:pPr>
        <w:jc w:val="both"/>
        <w:rPr>
          <w:rFonts w:ascii="Calibri" w:hAnsi="Calibri" w:cs="Arial"/>
          <w:sz w:val="24"/>
          <w:szCs w:val="24"/>
          <w:u w:val="single"/>
        </w:rPr>
      </w:pPr>
    </w:p>
    <w:p w:rsidR="00CD1DD2" w:rsidRPr="0001172B" w:rsidRDefault="00CD1DD2" w:rsidP="00CD1DD2">
      <w:pPr>
        <w:numPr>
          <w:ilvl w:val="0"/>
          <w:numId w:val="7"/>
        </w:numPr>
        <w:ind w:left="0"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 xml:space="preserve">AABs/AAB forex corps may sell FX to the non-resident investor or his resident agent/authorized representative without prior BSP approval the equivalent of peso  </w:t>
      </w:r>
      <w:r w:rsidRPr="0001172B">
        <w:rPr>
          <w:rFonts w:ascii="Calibri" w:hAnsi="Calibri" w:cs="Arial"/>
          <w:sz w:val="24"/>
          <w:szCs w:val="24"/>
        </w:rPr>
        <w:lastRenderedPageBreak/>
        <w:t>sales/divestment proceeds</w:t>
      </w:r>
      <w:r w:rsidR="00197D4E" w:rsidRPr="0001172B">
        <w:rPr>
          <w:rFonts w:ascii="Calibri" w:hAnsi="Calibri" w:cs="Arial"/>
          <w:sz w:val="24"/>
          <w:szCs w:val="24"/>
        </w:rPr>
        <w:t xml:space="preserve"> </w:t>
      </w:r>
      <w:r w:rsidRPr="0001172B">
        <w:rPr>
          <w:rFonts w:ascii="Calibri" w:hAnsi="Calibri" w:cs="Arial"/>
          <w:sz w:val="24"/>
          <w:szCs w:val="24"/>
        </w:rPr>
        <w:t xml:space="preserve">and related earnings </w:t>
      </w:r>
      <w:r w:rsidR="00946BDA" w:rsidRPr="0001172B">
        <w:rPr>
          <w:rFonts w:ascii="Calibri" w:hAnsi="Calibri" w:cs="Arial"/>
          <w:sz w:val="24"/>
          <w:szCs w:val="24"/>
        </w:rPr>
        <w:t xml:space="preserve">from BSP-registered inward investments </w:t>
      </w:r>
      <w:r w:rsidRPr="0001172B">
        <w:rPr>
          <w:rFonts w:ascii="Calibri" w:hAnsi="Calibri" w:cs="Arial"/>
          <w:sz w:val="24"/>
          <w:szCs w:val="24"/>
        </w:rPr>
        <w:t xml:space="preserve">for remittance to the non-resident investor </w:t>
      </w:r>
      <w:r w:rsidR="0005038D" w:rsidRPr="0001172B">
        <w:rPr>
          <w:rFonts w:ascii="Calibri" w:hAnsi="Calibri" w:cs="Arial"/>
          <w:sz w:val="24"/>
          <w:szCs w:val="24"/>
        </w:rPr>
        <w:t xml:space="preserve">(whether onshore or offshore) </w:t>
      </w:r>
      <w:r w:rsidR="000A2DA2" w:rsidRPr="0001172B">
        <w:rPr>
          <w:rFonts w:ascii="Calibri" w:hAnsi="Calibri" w:cs="Arial"/>
          <w:sz w:val="24"/>
          <w:szCs w:val="24"/>
        </w:rPr>
        <w:t xml:space="preserve">evidenced by the </w:t>
      </w:r>
      <w:r w:rsidRPr="0001172B">
        <w:rPr>
          <w:rFonts w:ascii="Calibri" w:hAnsi="Calibri" w:cs="Arial"/>
          <w:sz w:val="24"/>
          <w:szCs w:val="24"/>
        </w:rPr>
        <w:t>supporting documents listed</w:t>
      </w:r>
      <w:r w:rsidR="00B72995" w:rsidRPr="0001172B">
        <w:rPr>
          <w:rFonts w:ascii="Calibri" w:hAnsi="Calibri" w:cs="Arial"/>
          <w:sz w:val="24"/>
          <w:szCs w:val="24"/>
        </w:rPr>
        <w:t xml:space="preserve"> under</w:t>
      </w:r>
      <w:r w:rsidRPr="0001172B">
        <w:rPr>
          <w:rFonts w:ascii="Calibri" w:hAnsi="Calibri" w:cs="Arial"/>
          <w:sz w:val="24"/>
          <w:szCs w:val="24"/>
        </w:rPr>
        <w:t xml:space="preserve"> </w:t>
      </w:r>
      <w:hyperlink r:id="rId8" w:history="1">
        <w:r w:rsidRPr="0001172B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Appendix 1</w:t>
        </w:r>
      </w:hyperlink>
      <w:r w:rsidRPr="0001172B">
        <w:rPr>
          <w:rFonts w:ascii="Calibri" w:hAnsi="Calibri" w:cs="Arial"/>
          <w:sz w:val="24"/>
          <w:szCs w:val="24"/>
        </w:rPr>
        <w:t xml:space="preserve">.4 of the </w:t>
      </w:r>
      <w:r w:rsidR="007D4774">
        <w:rPr>
          <w:rFonts w:ascii="Calibri" w:hAnsi="Calibri" w:cs="Arial"/>
          <w:sz w:val="24"/>
          <w:szCs w:val="24"/>
        </w:rPr>
        <w:br/>
      </w:r>
      <w:r w:rsidRPr="0001172B">
        <w:rPr>
          <w:rFonts w:ascii="Calibri" w:hAnsi="Calibri" w:cs="Arial"/>
          <w:sz w:val="24"/>
          <w:szCs w:val="24"/>
        </w:rPr>
        <w:t>FX Manual.</w:t>
      </w:r>
    </w:p>
    <w:p w:rsidR="00B97FF2" w:rsidRPr="0001172B" w:rsidRDefault="00B97FF2" w:rsidP="00B97FF2">
      <w:pPr>
        <w:jc w:val="both"/>
        <w:rPr>
          <w:rFonts w:ascii="Calibri" w:hAnsi="Calibri" w:cs="Arial"/>
          <w:sz w:val="24"/>
          <w:szCs w:val="24"/>
        </w:rPr>
      </w:pPr>
    </w:p>
    <w:p w:rsidR="00245CD4" w:rsidRPr="0001172B" w:rsidRDefault="00245CD4" w:rsidP="008F230F">
      <w:pPr>
        <w:numPr>
          <w:ilvl w:val="0"/>
          <w:numId w:val="7"/>
        </w:numPr>
        <w:ind w:left="0"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Theme="minorHAnsi" w:hAnsiTheme="minorHAnsi" w:cstheme="minorHAnsi"/>
          <w:sz w:val="24"/>
          <w:szCs w:val="24"/>
        </w:rPr>
        <w:t xml:space="preserve">Whenever the repatriation/remittance shall be effected through an AAB other than the </w:t>
      </w:r>
      <w:r w:rsidR="00DE5FFD" w:rsidRPr="0001172B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registering</w:t>
      </w:r>
      <w:r w:rsidR="00DE5FFD" w:rsidRPr="0001172B">
        <w:rPr>
          <w:rFonts w:asciiTheme="minorHAnsi" w:hAnsiTheme="minorHAnsi" w:cstheme="minorHAnsi"/>
          <w:sz w:val="24"/>
          <w:szCs w:val="24"/>
        </w:rPr>
        <w:t xml:space="preserve"> AAB</w:t>
      </w:r>
      <w:r w:rsidR="000A2DA2" w:rsidRPr="0001172B">
        <w:rPr>
          <w:rFonts w:asciiTheme="minorHAnsi" w:hAnsiTheme="minorHAnsi" w:cstheme="minorHAnsi"/>
          <w:sz w:val="24"/>
          <w:szCs w:val="24"/>
        </w:rPr>
        <w:t>,</w:t>
      </w:r>
      <w:r w:rsidRPr="0001172B">
        <w:rPr>
          <w:rFonts w:asciiTheme="minorHAnsi" w:hAnsiTheme="minorHAnsi" w:cstheme="minorHAnsi"/>
          <w:sz w:val="24"/>
          <w:szCs w:val="24"/>
        </w:rPr>
        <w:t xml:space="preserve"> or the transaction was</w:t>
      </w:r>
      <w:r w:rsidRPr="0001172B">
        <w:rPr>
          <w:rFonts w:ascii="Calibri" w:hAnsi="Calibri" w:cs="Arial"/>
          <w:sz w:val="24"/>
          <w:szCs w:val="24"/>
        </w:rPr>
        <w:t xml:space="preserve"> made through a stock broker other than the </w:t>
      </w:r>
      <w:r w:rsidR="007D3CE8" w:rsidRPr="0001172B">
        <w:rPr>
          <w:rFonts w:ascii="Calibri" w:hAnsi="Calibri" w:cs="Arial"/>
          <w:sz w:val="24"/>
          <w:szCs w:val="24"/>
        </w:rPr>
        <w:t>registering AAB</w:t>
      </w:r>
      <w:r w:rsidRPr="0001172B">
        <w:rPr>
          <w:rFonts w:ascii="Calibri" w:hAnsi="Calibri" w:cs="Arial"/>
          <w:sz w:val="24"/>
          <w:szCs w:val="24"/>
        </w:rPr>
        <w:t xml:space="preserve">, the </w:t>
      </w:r>
      <w:r w:rsidR="00DE5FFD" w:rsidRPr="0001172B">
        <w:rPr>
          <w:rFonts w:ascii="Calibri" w:hAnsi="Calibri" w:cs="Arial"/>
          <w:sz w:val="24"/>
          <w:szCs w:val="24"/>
        </w:rPr>
        <w:t xml:space="preserve">registering </w:t>
      </w:r>
      <w:r w:rsidRPr="0001172B">
        <w:rPr>
          <w:rFonts w:ascii="Calibri" w:hAnsi="Calibri" w:cs="Arial"/>
          <w:sz w:val="24"/>
          <w:szCs w:val="24"/>
        </w:rPr>
        <w:t xml:space="preserve">bank/broker, upon request </w:t>
      </w:r>
      <w:r w:rsidR="004B3B93" w:rsidRPr="0001172B">
        <w:rPr>
          <w:rFonts w:ascii="Calibri" w:hAnsi="Calibri" w:cs="Arial"/>
          <w:sz w:val="24"/>
          <w:szCs w:val="24"/>
        </w:rPr>
        <w:t xml:space="preserve">by </w:t>
      </w:r>
      <w:r w:rsidRPr="0001172B">
        <w:rPr>
          <w:rFonts w:ascii="Calibri" w:hAnsi="Calibri" w:cs="Arial"/>
          <w:sz w:val="24"/>
          <w:szCs w:val="24"/>
        </w:rPr>
        <w:t xml:space="preserve">the remitting bank or selling broker, shall issue a </w:t>
      </w:r>
      <w:r w:rsidR="00343E5D" w:rsidRPr="0001172B">
        <w:rPr>
          <w:rFonts w:ascii="Calibri" w:hAnsi="Calibri" w:cs="Arial"/>
          <w:sz w:val="24"/>
          <w:szCs w:val="24"/>
        </w:rPr>
        <w:t>BSRD Letter Advice (</w:t>
      </w:r>
      <w:r w:rsidRPr="0001172B">
        <w:rPr>
          <w:rFonts w:ascii="Calibri" w:hAnsi="Calibri" w:cs="Arial"/>
          <w:sz w:val="24"/>
          <w:szCs w:val="24"/>
        </w:rPr>
        <w:t>BSRD</w:t>
      </w:r>
      <w:r w:rsidR="00343E5D" w:rsidRPr="0001172B">
        <w:rPr>
          <w:rFonts w:ascii="Calibri" w:hAnsi="Calibri" w:cs="Arial"/>
          <w:sz w:val="24"/>
          <w:szCs w:val="24"/>
        </w:rPr>
        <w:t>LA)</w:t>
      </w:r>
      <w:r w:rsidRPr="0001172B">
        <w:rPr>
          <w:rFonts w:ascii="Calibri" w:hAnsi="Calibri" w:cs="Arial"/>
          <w:sz w:val="24"/>
          <w:szCs w:val="24"/>
        </w:rPr>
        <w:t xml:space="preserve"> authorizing the latter to use </w:t>
      </w:r>
      <w:r w:rsidR="004B3B93" w:rsidRPr="0001172B">
        <w:rPr>
          <w:rFonts w:ascii="Calibri" w:hAnsi="Calibri" w:cs="Arial"/>
          <w:sz w:val="24"/>
          <w:szCs w:val="24"/>
        </w:rPr>
        <w:t xml:space="preserve">(in </w:t>
      </w:r>
      <w:r w:rsidRPr="0001172B">
        <w:rPr>
          <w:rFonts w:ascii="Calibri" w:hAnsi="Calibri" w:cs="Arial"/>
          <w:sz w:val="24"/>
          <w:szCs w:val="24"/>
        </w:rPr>
        <w:t>full or part</w:t>
      </w:r>
      <w:r w:rsidR="004B3B93" w:rsidRPr="0001172B">
        <w:rPr>
          <w:rFonts w:ascii="Calibri" w:hAnsi="Calibri" w:cs="Arial"/>
          <w:sz w:val="24"/>
          <w:szCs w:val="24"/>
        </w:rPr>
        <w:t>ially)</w:t>
      </w:r>
      <w:r w:rsidRPr="0001172B">
        <w:rPr>
          <w:rFonts w:ascii="Calibri" w:hAnsi="Calibri" w:cs="Arial"/>
          <w:sz w:val="24"/>
          <w:szCs w:val="24"/>
        </w:rPr>
        <w:t xml:space="preserve"> the </w:t>
      </w:r>
      <w:r w:rsidR="004B3B93" w:rsidRPr="0001172B">
        <w:rPr>
          <w:rFonts w:ascii="Calibri" w:hAnsi="Calibri" w:cs="Arial"/>
          <w:sz w:val="24"/>
          <w:szCs w:val="24"/>
        </w:rPr>
        <w:t>remaining shares covered by the</w:t>
      </w:r>
      <w:r w:rsidRPr="0001172B">
        <w:rPr>
          <w:rFonts w:ascii="Calibri" w:hAnsi="Calibri" w:cs="Arial"/>
          <w:sz w:val="24"/>
          <w:szCs w:val="24"/>
        </w:rPr>
        <w:t xml:space="preserve"> BSRD. The remitting AAB shall only effect the remittance </w:t>
      </w:r>
      <w:r w:rsidR="000A2DA2" w:rsidRPr="0001172B">
        <w:rPr>
          <w:rFonts w:ascii="Calibri" w:hAnsi="Calibri" w:cs="Arial"/>
          <w:sz w:val="24"/>
          <w:szCs w:val="24"/>
        </w:rPr>
        <w:t xml:space="preserve">evidenced by </w:t>
      </w:r>
      <w:r w:rsidRPr="0001172B">
        <w:rPr>
          <w:rFonts w:ascii="Calibri" w:hAnsi="Calibri" w:cs="Arial"/>
          <w:sz w:val="24"/>
          <w:szCs w:val="24"/>
        </w:rPr>
        <w:t>the supporting documents</w:t>
      </w:r>
      <w:r w:rsidR="00EF6CDF" w:rsidRPr="0001172B">
        <w:rPr>
          <w:rFonts w:ascii="Calibri" w:hAnsi="Calibri" w:cs="Arial"/>
          <w:sz w:val="24"/>
          <w:szCs w:val="24"/>
        </w:rPr>
        <w:t xml:space="preserve"> listed</w:t>
      </w:r>
      <w:r w:rsidRPr="0001172B">
        <w:rPr>
          <w:rFonts w:ascii="Calibri" w:hAnsi="Calibri" w:cs="Arial"/>
          <w:sz w:val="24"/>
          <w:szCs w:val="24"/>
        </w:rPr>
        <w:t xml:space="preserve"> under </w:t>
      </w:r>
      <w:hyperlink r:id="rId9" w:history="1">
        <w:r w:rsidRPr="0001172B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Appendix 1</w:t>
        </w:r>
      </w:hyperlink>
      <w:r w:rsidR="00E9064D" w:rsidRPr="0001172B">
        <w:rPr>
          <w:rFonts w:ascii="Calibri" w:hAnsi="Calibri" w:cs="Arial"/>
          <w:sz w:val="24"/>
          <w:szCs w:val="24"/>
        </w:rPr>
        <w:t>.4</w:t>
      </w:r>
      <w:r w:rsidRPr="0001172B">
        <w:rPr>
          <w:rFonts w:ascii="Calibri" w:hAnsi="Calibri" w:cs="Arial"/>
          <w:sz w:val="24"/>
          <w:szCs w:val="24"/>
        </w:rPr>
        <w:t xml:space="preserve"> of the </w:t>
      </w:r>
      <w:r w:rsidR="00336579" w:rsidRPr="0001172B">
        <w:rPr>
          <w:rFonts w:ascii="Calibri" w:hAnsi="Calibri" w:cs="Arial"/>
          <w:sz w:val="24"/>
          <w:szCs w:val="24"/>
        </w:rPr>
        <w:t xml:space="preserve">FX </w:t>
      </w:r>
      <w:r w:rsidRPr="0001172B">
        <w:rPr>
          <w:rFonts w:ascii="Calibri" w:hAnsi="Calibri" w:cs="Arial"/>
          <w:sz w:val="24"/>
          <w:szCs w:val="24"/>
        </w:rPr>
        <w:t>Manual.</w:t>
      </w:r>
    </w:p>
    <w:p w:rsidR="00336579" w:rsidRPr="0001172B" w:rsidRDefault="00336579" w:rsidP="00245CD4">
      <w:pPr>
        <w:ind w:firstLine="360"/>
        <w:jc w:val="both"/>
        <w:rPr>
          <w:rFonts w:ascii="Calibri" w:hAnsi="Calibri" w:cs="Arial"/>
          <w:sz w:val="24"/>
          <w:szCs w:val="24"/>
        </w:rPr>
      </w:pPr>
    </w:p>
    <w:p w:rsidR="00336579" w:rsidRPr="0001172B" w:rsidRDefault="004B3B93" w:rsidP="008F230F">
      <w:pPr>
        <w:numPr>
          <w:ilvl w:val="0"/>
          <w:numId w:val="7"/>
        </w:numPr>
        <w:ind w:left="0"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 xml:space="preserve">A </w:t>
      </w:r>
      <w:r w:rsidR="008F230F" w:rsidRPr="0001172B">
        <w:rPr>
          <w:rFonts w:ascii="Calibri" w:hAnsi="Calibri" w:cs="Arial"/>
          <w:sz w:val="24"/>
          <w:szCs w:val="24"/>
        </w:rPr>
        <w:t>B</w:t>
      </w:r>
      <w:r w:rsidR="00343E5D" w:rsidRPr="0001172B">
        <w:rPr>
          <w:rFonts w:ascii="Calibri" w:hAnsi="Calibri" w:cs="Arial"/>
          <w:sz w:val="24"/>
          <w:szCs w:val="24"/>
        </w:rPr>
        <w:t>SRDLA</w:t>
      </w:r>
      <w:r w:rsidR="008F230F" w:rsidRPr="0001172B">
        <w:rPr>
          <w:rFonts w:ascii="Calibri" w:hAnsi="Calibri" w:cs="Arial"/>
          <w:sz w:val="24"/>
          <w:szCs w:val="24"/>
        </w:rPr>
        <w:t xml:space="preserve"> </w:t>
      </w:r>
      <w:r w:rsidR="00BC7297" w:rsidRPr="0001172B">
        <w:rPr>
          <w:rFonts w:ascii="Calibri" w:hAnsi="Calibri" w:cs="Arial"/>
          <w:sz w:val="24"/>
          <w:szCs w:val="24"/>
        </w:rPr>
        <w:t xml:space="preserve">shall be issued if there is an </w:t>
      </w:r>
      <w:r w:rsidRPr="0001172B">
        <w:rPr>
          <w:rFonts w:ascii="Calibri" w:hAnsi="Calibri" w:cs="Arial"/>
          <w:sz w:val="24"/>
          <w:szCs w:val="24"/>
        </w:rPr>
        <w:t>intended</w:t>
      </w:r>
      <w:r w:rsidR="00BC7297" w:rsidRPr="0001172B">
        <w:rPr>
          <w:rFonts w:ascii="Calibri" w:hAnsi="Calibri" w:cs="Arial"/>
          <w:sz w:val="24"/>
          <w:szCs w:val="24"/>
        </w:rPr>
        <w:t xml:space="preserve"> outward remittance/</w:t>
      </w:r>
      <w:r w:rsidR="00343E5D" w:rsidRPr="0001172B">
        <w:rPr>
          <w:rFonts w:ascii="Calibri" w:hAnsi="Calibri" w:cs="Arial"/>
          <w:sz w:val="24"/>
          <w:szCs w:val="24"/>
        </w:rPr>
        <w:t xml:space="preserve"> </w:t>
      </w:r>
      <w:r w:rsidR="00BC7297" w:rsidRPr="0001172B">
        <w:rPr>
          <w:rFonts w:ascii="Calibri" w:hAnsi="Calibri" w:cs="Arial"/>
          <w:sz w:val="24"/>
          <w:szCs w:val="24"/>
        </w:rPr>
        <w:t xml:space="preserve">repatriation </w:t>
      </w:r>
      <w:r w:rsidR="00343E5D" w:rsidRPr="0001172B">
        <w:rPr>
          <w:rFonts w:ascii="Calibri" w:hAnsi="Calibri" w:cs="Arial"/>
          <w:sz w:val="24"/>
          <w:szCs w:val="24"/>
        </w:rPr>
        <w:t xml:space="preserve">and shall </w:t>
      </w:r>
      <w:r w:rsidRPr="0001172B">
        <w:rPr>
          <w:rFonts w:ascii="Calibri" w:hAnsi="Calibri" w:cs="Arial"/>
          <w:sz w:val="24"/>
          <w:szCs w:val="24"/>
        </w:rPr>
        <w:t>expire</w:t>
      </w:r>
      <w:r w:rsidR="00343E5D" w:rsidRPr="0001172B">
        <w:rPr>
          <w:rFonts w:ascii="Calibri" w:hAnsi="Calibri" w:cs="Arial"/>
          <w:sz w:val="24"/>
          <w:szCs w:val="24"/>
        </w:rPr>
        <w:t xml:space="preserve"> one (1) month</w:t>
      </w:r>
      <w:r w:rsidR="00BC7297" w:rsidRPr="0001172B">
        <w:rPr>
          <w:rFonts w:ascii="Calibri" w:hAnsi="Calibri" w:cs="Arial"/>
          <w:sz w:val="24"/>
          <w:szCs w:val="24"/>
        </w:rPr>
        <w:t xml:space="preserve"> from issuance date.  After it</w:t>
      </w:r>
      <w:r w:rsidR="008F230F" w:rsidRPr="0001172B">
        <w:rPr>
          <w:rFonts w:ascii="Calibri" w:hAnsi="Calibri" w:cs="Arial"/>
          <w:sz w:val="24"/>
          <w:szCs w:val="24"/>
        </w:rPr>
        <w:t>s expiry, the BSRDLA</w:t>
      </w:r>
      <w:r w:rsidR="00BC7297" w:rsidRPr="0001172B">
        <w:rPr>
          <w:rFonts w:ascii="Calibri" w:hAnsi="Calibri" w:cs="Arial"/>
          <w:sz w:val="24"/>
          <w:szCs w:val="24"/>
        </w:rPr>
        <w:t xml:space="preserve"> can no longer be used as basis for purchasing foreign exchange </w:t>
      </w:r>
      <w:r w:rsidR="00343E5D" w:rsidRPr="0001172B">
        <w:rPr>
          <w:rFonts w:ascii="Calibri" w:hAnsi="Calibri" w:cs="Arial"/>
          <w:sz w:val="24"/>
          <w:szCs w:val="24"/>
        </w:rPr>
        <w:t xml:space="preserve">(FX) </w:t>
      </w:r>
      <w:r w:rsidRPr="0001172B">
        <w:rPr>
          <w:rFonts w:ascii="Calibri" w:hAnsi="Calibri" w:cs="Arial"/>
          <w:sz w:val="24"/>
          <w:szCs w:val="24"/>
        </w:rPr>
        <w:t>from AAB</w:t>
      </w:r>
      <w:r w:rsidR="00626700" w:rsidRPr="0001172B">
        <w:rPr>
          <w:rFonts w:ascii="Calibri" w:hAnsi="Calibri" w:cs="Arial"/>
          <w:sz w:val="24"/>
          <w:szCs w:val="24"/>
        </w:rPr>
        <w:t>s/AAB forex corps</w:t>
      </w:r>
      <w:r w:rsidRPr="0001172B">
        <w:rPr>
          <w:rFonts w:ascii="Calibri" w:hAnsi="Calibri" w:cs="Arial"/>
          <w:sz w:val="24"/>
          <w:szCs w:val="24"/>
        </w:rPr>
        <w:t xml:space="preserve"> to service capital repatriation/</w:t>
      </w:r>
      <w:r w:rsidR="008F230F" w:rsidRPr="0001172B">
        <w:rPr>
          <w:rFonts w:ascii="Calibri" w:hAnsi="Calibri" w:cs="Arial"/>
          <w:sz w:val="24"/>
          <w:szCs w:val="24"/>
        </w:rPr>
        <w:t>remittance</w:t>
      </w:r>
      <w:r w:rsidRPr="0001172B">
        <w:rPr>
          <w:rFonts w:ascii="Calibri" w:hAnsi="Calibri" w:cs="Arial"/>
          <w:sz w:val="24"/>
          <w:szCs w:val="24"/>
        </w:rPr>
        <w:t xml:space="preserve"> of earnings.  The expired </w:t>
      </w:r>
      <w:r w:rsidR="008F230F" w:rsidRPr="0001172B">
        <w:rPr>
          <w:rFonts w:ascii="Calibri" w:hAnsi="Calibri" w:cs="Arial"/>
          <w:sz w:val="24"/>
          <w:szCs w:val="24"/>
        </w:rPr>
        <w:t>BSRDLA</w:t>
      </w:r>
      <w:r w:rsidR="00611620" w:rsidRPr="0001172B">
        <w:rPr>
          <w:rFonts w:ascii="Calibri" w:hAnsi="Calibri" w:cs="Arial"/>
          <w:sz w:val="24"/>
          <w:szCs w:val="24"/>
        </w:rPr>
        <w:t xml:space="preserve"> may be</w:t>
      </w:r>
      <w:r w:rsidRPr="0001172B">
        <w:rPr>
          <w:rFonts w:ascii="Calibri" w:hAnsi="Calibri" w:cs="Arial"/>
          <w:sz w:val="24"/>
          <w:szCs w:val="24"/>
        </w:rPr>
        <w:t xml:space="preserve"> applied for</w:t>
      </w:r>
      <w:r w:rsidR="00B747E0" w:rsidRPr="0001172B">
        <w:rPr>
          <w:rFonts w:ascii="Calibri" w:hAnsi="Calibri" w:cs="Arial"/>
          <w:sz w:val="24"/>
          <w:szCs w:val="24"/>
        </w:rPr>
        <w:t xml:space="preserve"> renewal/</w:t>
      </w:r>
      <w:r w:rsidR="00611620" w:rsidRPr="0001172B">
        <w:rPr>
          <w:rFonts w:ascii="Calibri" w:hAnsi="Calibri" w:cs="Arial"/>
          <w:sz w:val="24"/>
          <w:szCs w:val="24"/>
        </w:rPr>
        <w:t>exten</w:t>
      </w:r>
      <w:r w:rsidR="00B747E0" w:rsidRPr="0001172B">
        <w:rPr>
          <w:rFonts w:ascii="Calibri" w:hAnsi="Calibri" w:cs="Arial"/>
          <w:sz w:val="24"/>
          <w:szCs w:val="24"/>
        </w:rPr>
        <w:t>sion</w:t>
      </w:r>
      <w:r w:rsidR="00626700" w:rsidRPr="0001172B">
        <w:rPr>
          <w:rFonts w:ascii="Calibri" w:hAnsi="Calibri" w:cs="Arial"/>
          <w:sz w:val="24"/>
          <w:szCs w:val="24"/>
        </w:rPr>
        <w:t xml:space="preserve"> with the BSP-IOD</w:t>
      </w:r>
      <w:r w:rsidR="00BF1250" w:rsidRPr="0001172B">
        <w:rPr>
          <w:rFonts w:ascii="Calibri" w:hAnsi="Calibri" w:cs="Arial"/>
          <w:sz w:val="24"/>
          <w:szCs w:val="24"/>
        </w:rPr>
        <w:t>.</w:t>
      </w:r>
      <w:r w:rsidR="000A2DA2" w:rsidRPr="0001172B">
        <w:rPr>
          <w:rFonts w:ascii="Calibri" w:hAnsi="Calibri" w:cs="Arial"/>
          <w:sz w:val="24"/>
          <w:szCs w:val="24"/>
        </w:rPr>
        <w:t xml:space="preserve"> </w:t>
      </w:r>
    </w:p>
    <w:p w:rsidR="00BC7297" w:rsidRPr="0001172B" w:rsidRDefault="00BC7297" w:rsidP="00245CD4">
      <w:pPr>
        <w:ind w:firstLine="360"/>
        <w:jc w:val="both"/>
        <w:rPr>
          <w:rFonts w:ascii="Calibri" w:hAnsi="Calibri" w:cs="Arial"/>
          <w:sz w:val="24"/>
          <w:szCs w:val="24"/>
        </w:rPr>
      </w:pPr>
    </w:p>
    <w:p w:rsidR="00BC7297" w:rsidRPr="0001172B" w:rsidRDefault="00BC7297" w:rsidP="00245CD4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>A BS</w:t>
      </w:r>
      <w:r w:rsidR="008F230F" w:rsidRPr="0001172B">
        <w:rPr>
          <w:rFonts w:ascii="Calibri" w:hAnsi="Calibri" w:cs="Arial"/>
          <w:sz w:val="24"/>
          <w:szCs w:val="24"/>
        </w:rPr>
        <w:t>RDLA</w:t>
      </w:r>
      <w:r w:rsidRPr="0001172B">
        <w:rPr>
          <w:rFonts w:ascii="Calibri" w:hAnsi="Calibri" w:cs="Arial"/>
          <w:sz w:val="24"/>
          <w:szCs w:val="24"/>
        </w:rPr>
        <w:t xml:space="preserve"> may also be issued by a registering bank in favor of another registering bank for transactions involving peso sales proceeds of a</w:t>
      </w:r>
      <w:r w:rsidR="00B747E0" w:rsidRPr="0001172B">
        <w:rPr>
          <w:rFonts w:ascii="Calibri" w:hAnsi="Calibri" w:cs="Arial"/>
          <w:sz w:val="24"/>
          <w:szCs w:val="24"/>
        </w:rPr>
        <w:t xml:space="preserve"> registered investment </w:t>
      </w:r>
      <w:r w:rsidR="00EF039E" w:rsidRPr="0001172B">
        <w:rPr>
          <w:rFonts w:ascii="Calibri" w:hAnsi="Calibri" w:cs="Arial"/>
          <w:sz w:val="24"/>
          <w:szCs w:val="24"/>
        </w:rPr>
        <w:t>which will</w:t>
      </w:r>
      <w:r w:rsidRPr="0001172B">
        <w:rPr>
          <w:rFonts w:ascii="Calibri" w:hAnsi="Calibri" w:cs="Arial"/>
          <w:sz w:val="24"/>
          <w:szCs w:val="24"/>
        </w:rPr>
        <w:t xml:space="preserve">: (a) fund a new investment to be registered by the latter; and (b) </w:t>
      </w:r>
      <w:r w:rsidR="00EF039E" w:rsidRPr="0001172B">
        <w:rPr>
          <w:rFonts w:ascii="Calibri" w:hAnsi="Calibri" w:cs="Arial"/>
          <w:sz w:val="24"/>
          <w:szCs w:val="24"/>
        </w:rPr>
        <w:t xml:space="preserve">be </w:t>
      </w:r>
      <w:r w:rsidRPr="0001172B">
        <w:rPr>
          <w:rFonts w:ascii="Calibri" w:hAnsi="Calibri" w:cs="Arial"/>
          <w:sz w:val="24"/>
          <w:szCs w:val="24"/>
        </w:rPr>
        <w:t>deposited in t</w:t>
      </w:r>
      <w:r w:rsidR="00EF039E" w:rsidRPr="0001172B">
        <w:rPr>
          <w:rFonts w:ascii="Calibri" w:hAnsi="Calibri" w:cs="Arial"/>
          <w:sz w:val="24"/>
          <w:szCs w:val="24"/>
        </w:rPr>
        <w:t xml:space="preserve">he </w:t>
      </w:r>
      <w:r w:rsidR="004E37B3" w:rsidRPr="0001172B">
        <w:rPr>
          <w:rFonts w:ascii="Calibri" w:hAnsi="Calibri" w:cs="Arial"/>
          <w:sz w:val="24"/>
          <w:szCs w:val="24"/>
        </w:rPr>
        <w:t>non-resident</w:t>
      </w:r>
      <w:r w:rsidR="00EF039E" w:rsidRPr="0001172B">
        <w:rPr>
          <w:rFonts w:ascii="Calibri" w:hAnsi="Calibri" w:cs="Arial"/>
          <w:sz w:val="24"/>
          <w:szCs w:val="24"/>
        </w:rPr>
        <w:t xml:space="preserve"> investor’s account with</w:t>
      </w:r>
      <w:r w:rsidRPr="0001172B">
        <w:rPr>
          <w:rFonts w:ascii="Calibri" w:hAnsi="Calibri" w:cs="Arial"/>
          <w:sz w:val="24"/>
          <w:szCs w:val="24"/>
        </w:rPr>
        <w:t xml:space="preserve"> the latter bank.  A BS</w:t>
      </w:r>
      <w:r w:rsidR="008F230F" w:rsidRPr="0001172B">
        <w:rPr>
          <w:rFonts w:ascii="Calibri" w:hAnsi="Calibri" w:cs="Arial"/>
          <w:sz w:val="24"/>
          <w:szCs w:val="24"/>
        </w:rPr>
        <w:t>RDLA</w:t>
      </w:r>
      <w:r w:rsidRPr="0001172B">
        <w:rPr>
          <w:rFonts w:ascii="Calibri" w:hAnsi="Calibri" w:cs="Arial"/>
          <w:sz w:val="24"/>
          <w:szCs w:val="24"/>
        </w:rPr>
        <w:t xml:space="preserve"> may also be issued to transfer funds between interim peso deposit accounts (IPDs) of a </w:t>
      </w:r>
      <w:r w:rsidR="006F2539" w:rsidRPr="0001172B">
        <w:rPr>
          <w:rFonts w:ascii="Calibri" w:hAnsi="Calibri" w:cs="Arial"/>
          <w:sz w:val="24"/>
          <w:szCs w:val="24"/>
        </w:rPr>
        <w:br/>
      </w:r>
      <w:r w:rsidR="004E37B3" w:rsidRPr="0001172B">
        <w:rPr>
          <w:rFonts w:ascii="Calibri" w:hAnsi="Calibri" w:cs="Arial"/>
          <w:sz w:val="24"/>
          <w:szCs w:val="24"/>
        </w:rPr>
        <w:t>non-resident</w:t>
      </w:r>
      <w:r w:rsidRPr="0001172B">
        <w:rPr>
          <w:rFonts w:ascii="Calibri" w:hAnsi="Calibri" w:cs="Arial"/>
          <w:sz w:val="24"/>
          <w:szCs w:val="24"/>
        </w:rPr>
        <w:t xml:space="preserve"> investor in different banks.</w:t>
      </w:r>
    </w:p>
    <w:p w:rsidR="00EC2090" w:rsidRDefault="00EC2090" w:rsidP="00B97FF2">
      <w:pPr>
        <w:jc w:val="both"/>
        <w:rPr>
          <w:rFonts w:ascii="Calibri" w:hAnsi="Calibri" w:cs="Arial"/>
          <w:sz w:val="24"/>
          <w:szCs w:val="24"/>
        </w:rPr>
      </w:pPr>
    </w:p>
    <w:p w:rsidR="006246B1" w:rsidRPr="0001172B" w:rsidRDefault="006246B1" w:rsidP="00B97FF2">
      <w:pPr>
        <w:jc w:val="both"/>
        <w:rPr>
          <w:rFonts w:ascii="Calibri" w:hAnsi="Calibri" w:cs="Arial"/>
          <w:sz w:val="24"/>
          <w:szCs w:val="24"/>
        </w:rPr>
      </w:pPr>
    </w:p>
    <w:p w:rsidR="00B97FF2" w:rsidRPr="0001172B" w:rsidRDefault="00415F7D" w:rsidP="00B97FF2">
      <w:pPr>
        <w:numPr>
          <w:ilvl w:val="0"/>
          <w:numId w:val="1"/>
        </w:num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1172B">
        <w:rPr>
          <w:rFonts w:ascii="Calibri" w:hAnsi="Calibri" w:cs="Arial"/>
          <w:b/>
          <w:sz w:val="24"/>
          <w:szCs w:val="24"/>
        </w:rPr>
        <w:t>Reporting</w:t>
      </w:r>
      <w:r w:rsidR="00B97FF2" w:rsidRPr="0001172B">
        <w:rPr>
          <w:rFonts w:ascii="Calibri" w:hAnsi="Calibri" w:cs="Arial"/>
          <w:b/>
          <w:sz w:val="24"/>
          <w:szCs w:val="24"/>
        </w:rPr>
        <w:t xml:space="preserve"> </w:t>
      </w:r>
    </w:p>
    <w:p w:rsidR="003310EB" w:rsidRPr="0001172B" w:rsidRDefault="003310EB" w:rsidP="00B97FF2">
      <w:pPr>
        <w:jc w:val="both"/>
        <w:rPr>
          <w:rFonts w:ascii="Calibri" w:hAnsi="Calibri" w:cs="Arial"/>
          <w:sz w:val="24"/>
          <w:szCs w:val="24"/>
        </w:rPr>
      </w:pPr>
    </w:p>
    <w:p w:rsidR="00D83DEA" w:rsidRPr="0001172B" w:rsidRDefault="00D83DEA" w:rsidP="006A03EF">
      <w:pPr>
        <w:pStyle w:val="ListParagraph"/>
        <w:numPr>
          <w:ilvl w:val="2"/>
          <w:numId w:val="2"/>
        </w:numPr>
        <w:ind w:left="0"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>All transactions on r</w:t>
      </w:r>
      <w:r w:rsidRPr="0001172B">
        <w:rPr>
          <w:rFonts w:ascii="Calibri" w:hAnsi="Calibri"/>
          <w:sz w:val="24"/>
        </w:rPr>
        <w:t xml:space="preserve">egistered investments shall be reported by the </w:t>
      </w:r>
      <w:r w:rsidRPr="0001172B">
        <w:rPr>
          <w:rFonts w:ascii="Calibri" w:hAnsi="Calibri" w:cs="Arial"/>
          <w:sz w:val="24"/>
          <w:szCs w:val="24"/>
        </w:rPr>
        <w:t>registering</w:t>
      </w:r>
      <w:r w:rsidR="004A7B97" w:rsidRPr="0001172B">
        <w:rPr>
          <w:rFonts w:ascii="Calibri" w:hAnsi="Calibri" w:cs="Arial"/>
          <w:sz w:val="24"/>
          <w:szCs w:val="24"/>
        </w:rPr>
        <w:t>/remitting</w:t>
      </w:r>
      <w:r w:rsidRPr="0001172B">
        <w:rPr>
          <w:rFonts w:ascii="Calibri" w:hAnsi="Calibri" w:cs="Arial"/>
          <w:sz w:val="24"/>
          <w:szCs w:val="24"/>
        </w:rPr>
        <w:t xml:space="preserve"> AABs</w:t>
      </w:r>
      <w:r w:rsidRPr="0001172B">
        <w:rPr>
          <w:rFonts w:ascii="Calibri" w:hAnsi="Calibri"/>
          <w:sz w:val="24"/>
        </w:rPr>
        <w:t xml:space="preserve"> to BSP-IOD </w:t>
      </w:r>
      <w:r w:rsidR="00BF1250" w:rsidRPr="0001172B">
        <w:rPr>
          <w:rFonts w:ascii="Calibri" w:hAnsi="Calibri"/>
          <w:sz w:val="24"/>
        </w:rPr>
        <w:t xml:space="preserve">at </w:t>
      </w:r>
      <w:r w:rsidR="00BF1250" w:rsidRPr="0001172B">
        <w:rPr>
          <w:rFonts w:asciiTheme="minorHAnsi" w:hAnsiTheme="minorHAnsi" w:cstheme="minorHAnsi"/>
          <w:sz w:val="24"/>
          <w:szCs w:val="24"/>
        </w:rPr>
        <w:t>iod-pid@bsp.gov.ph</w:t>
      </w:r>
      <w:r w:rsidR="004A7B97" w:rsidRPr="0001172B">
        <w:rPr>
          <w:rStyle w:val="FootnoteReference"/>
          <w:rFonts w:asciiTheme="minorHAnsi" w:hAnsiTheme="minorHAnsi" w:cstheme="minorHAnsi"/>
          <w:sz w:val="24"/>
          <w:szCs w:val="24"/>
        </w:rPr>
        <w:footnoteReference w:id="5"/>
      </w:r>
      <w:r w:rsidR="00BF1250" w:rsidRPr="0001172B">
        <w:rPr>
          <w:rFonts w:ascii="Calibri" w:hAnsi="Calibri"/>
          <w:sz w:val="24"/>
          <w:szCs w:val="17"/>
        </w:rPr>
        <w:t xml:space="preserve"> </w:t>
      </w:r>
      <w:r w:rsidRPr="0001172B">
        <w:rPr>
          <w:rFonts w:ascii="Calibri" w:hAnsi="Calibri"/>
          <w:sz w:val="24"/>
          <w:szCs w:val="17"/>
        </w:rPr>
        <w:t>within two (2) banking days from registration/settlement/actual remittance date</w:t>
      </w:r>
      <w:r w:rsidRPr="0001172B">
        <w:rPr>
          <w:rFonts w:ascii="Calibri" w:hAnsi="Calibri"/>
          <w:sz w:val="24"/>
        </w:rPr>
        <w:t xml:space="preserve"> under the </w:t>
      </w:r>
      <w:r w:rsidRPr="0001172B">
        <w:rPr>
          <w:rFonts w:ascii="Calibri" w:hAnsi="Calibri" w:cs="Arial"/>
          <w:sz w:val="24"/>
          <w:szCs w:val="24"/>
        </w:rPr>
        <w:t>Report on Investments Registered with AABs</w:t>
      </w:r>
      <w:r w:rsidRPr="0001172B">
        <w:rPr>
          <w:rStyle w:val="FootnoteReference"/>
          <w:rFonts w:ascii="Calibri" w:hAnsi="Calibri"/>
          <w:sz w:val="24"/>
          <w:szCs w:val="24"/>
        </w:rPr>
        <w:footnoteReference w:id="6"/>
      </w:r>
      <w:r w:rsidRPr="0001172B">
        <w:rPr>
          <w:rFonts w:ascii="Calibri" w:hAnsi="Calibri"/>
          <w:sz w:val="24"/>
          <w:szCs w:val="24"/>
        </w:rPr>
        <w:t xml:space="preserve"> and </w:t>
      </w:r>
      <w:r w:rsidR="006A03EF" w:rsidRPr="006A03EF">
        <w:rPr>
          <w:rFonts w:ascii="Calibri" w:hAnsi="Calibri" w:cs="Arial"/>
          <w:sz w:val="24"/>
          <w:szCs w:val="24"/>
        </w:rPr>
        <w:t>Report Interim Peso Deposits of Foreign Investments Registered with AABs</w:t>
      </w:r>
      <w:r w:rsidRPr="0001172B">
        <w:rPr>
          <w:rFonts w:ascii="Calibri" w:hAnsi="Calibri"/>
          <w:sz w:val="24"/>
          <w:szCs w:val="24"/>
        </w:rPr>
        <w:t xml:space="preserve"> (Annex AC), togethe</w:t>
      </w:r>
      <w:r w:rsidR="00534B91" w:rsidRPr="0001172B">
        <w:rPr>
          <w:rFonts w:ascii="Calibri" w:hAnsi="Calibri"/>
          <w:sz w:val="24"/>
          <w:szCs w:val="24"/>
        </w:rPr>
        <w:t>r with the original CIR of FX</w:t>
      </w:r>
      <w:r w:rsidR="00BF1250" w:rsidRPr="0001172B">
        <w:rPr>
          <w:rFonts w:ascii="Calibri" w:hAnsi="Calibri"/>
          <w:sz w:val="24"/>
          <w:szCs w:val="24"/>
        </w:rPr>
        <w:t>.  T</w:t>
      </w:r>
      <w:r w:rsidR="00BF1250" w:rsidRPr="0001172B">
        <w:rPr>
          <w:rFonts w:asciiTheme="minorHAnsi" w:hAnsiTheme="minorHAnsi" w:cs="Calibri"/>
          <w:bCs/>
          <w:sz w:val="24"/>
          <w:szCs w:val="24"/>
        </w:rPr>
        <w:t xml:space="preserve">he AAB through its authorized officer, as prescribed by the BSP, shall attest to the: (a) </w:t>
      </w:r>
      <w:r w:rsidR="00BF1250" w:rsidRPr="0001172B">
        <w:rPr>
          <w:rFonts w:ascii="Calibri" w:hAnsi="Calibri"/>
          <w:sz w:val="24"/>
          <w:szCs w:val="24"/>
        </w:rPr>
        <w:t xml:space="preserve">veracity and accuracy of the report; (b) </w:t>
      </w:r>
      <w:r w:rsidR="00BF1250" w:rsidRPr="0001172B">
        <w:rPr>
          <w:rFonts w:asciiTheme="minorHAnsi" w:hAnsiTheme="minorHAnsi" w:cs="Calibri"/>
          <w:bCs/>
          <w:sz w:val="24"/>
          <w:szCs w:val="24"/>
        </w:rPr>
        <w:t xml:space="preserve">integrity and authenticity of the submitted documents; and (c) availability of the </w:t>
      </w:r>
      <w:r w:rsidR="008106A0" w:rsidRPr="006C47BA">
        <w:rPr>
          <w:rFonts w:ascii="Calibri" w:hAnsi="Calibri" w:cs="Arial"/>
          <w:sz w:val="24"/>
          <w:szCs w:val="24"/>
        </w:rPr>
        <w:t>electronic/digital/original/photocopy of documents (as applicable)</w:t>
      </w:r>
      <w:r w:rsidR="008106A0" w:rsidRPr="00BE7474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8106A0" w:rsidRPr="008106A0">
        <w:rPr>
          <w:rFonts w:ascii="Calibri" w:hAnsi="Calibri" w:cs="Arial"/>
          <w:color w:val="000000" w:themeColor="text1"/>
          <w:sz w:val="24"/>
          <w:szCs w:val="24"/>
        </w:rPr>
        <w:t>upon request by the BSP for verification</w:t>
      </w:r>
      <w:r w:rsidR="00CE175C" w:rsidRPr="0001172B">
        <w:rPr>
          <w:rFonts w:ascii="Calibri" w:hAnsi="Calibri"/>
          <w:sz w:val="24"/>
        </w:rPr>
        <w:t xml:space="preserve">. </w:t>
      </w:r>
    </w:p>
    <w:p w:rsidR="00BF1250" w:rsidRPr="0001172B" w:rsidRDefault="00BF1250" w:rsidP="00BF1250">
      <w:pPr>
        <w:pStyle w:val="ListParagraph"/>
        <w:ind w:left="360"/>
        <w:jc w:val="both"/>
        <w:rPr>
          <w:rFonts w:ascii="Calibri" w:hAnsi="Calibri" w:cs="Arial"/>
          <w:sz w:val="24"/>
          <w:szCs w:val="24"/>
        </w:rPr>
      </w:pPr>
    </w:p>
    <w:p w:rsidR="00534B91" w:rsidRPr="0001172B" w:rsidRDefault="00534B91" w:rsidP="00534B9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>The AABs shall make available supporting documents listed in Appendix 1.4 upon request by the BSP for verification purposes</w:t>
      </w:r>
      <w:r w:rsidRPr="0001172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E175C" w:rsidRPr="0001172B" w:rsidRDefault="00CE175C" w:rsidP="00CE175C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CE175C" w:rsidRPr="0001172B" w:rsidRDefault="00CE175C" w:rsidP="00D83DEA">
      <w:pPr>
        <w:pStyle w:val="ListParagraph"/>
        <w:rPr>
          <w:rFonts w:ascii="Calibri" w:hAnsi="Calibri" w:cs="Arial"/>
          <w:sz w:val="24"/>
          <w:szCs w:val="24"/>
        </w:rPr>
      </w:pPr>
    </w:p>
    <w:p w:rsidR="00CC46E5" w:rsidRPr="0001172B" w:rsidRDefault="00CC46E5" w:rsidP="00CC46E5">
      <w:pPr>
        <w:pStyle w:val="ListParagraph"/>
        <w:ind w:left="360"/>
        <w:jc w:val="both"/>
        <w:rPr>
          <w:rFonts w:ascii="Calibri" w:hAnsi="Calibri" w:cs="Arial"/>
          <w:sz w:val="24"/>
          <w:szCs w:val="24"/>
        </w:rPr>
      </w:pPr>
    </w:p>
    <w:p w:rsidR="00D83DEA" w:rsidRPr="0001172B" w:rsidRDefault="00D83DEA" w:rsidP="00534B91">
      <w:pPr>
        <w:pStyle w:val="ListParagraph"/>
        <w:numPr>
          <w:ilvl w:val="2"/>
          <w:numId w:val="2"/>
        </w:numPr>
        <w:ind w:left="0" w:firstLine="36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 xml:space="preserve">Registering AABs shall likewise submit to the BSP-IOD </w:t>
      </w:r>
      <w:r w:rsidR="00534B91" w:rsidRPr="0001172B">
        <w:rPr>
          <w:rFonts w:ascii="Calibri" w:hAnsi="Calibri" w:cs="Arial"/>
          <w:sz w:val="24"/>
          <w:szCs w:val="24"/>
        </w:rPr>
        <w:t>at</w:t>
      </w:r>
      <w:r w:rsidRPr="0001172B">
        <w:rPr>
          <w:rFonts w:ascii="Calibri" w:hAnsi="Calibri" w:cs="Arial"/>
          <w:sz w:val="24"/>
          <w:szCs w:val="24"/>
        </w:rPr>
        <w:t xml:space="preserve"> </w:t>
      </w:r>
      <w:r w:rsidRPr="0001172B">
        <w:rPr>
          <w:rFonts w:ascii="Calibri" w:hAnsi="Calibri" w:cs="Arial"/>
          <w:sz w:val="24"/>
          <w:szCs w:val="24"/>
        </w:rPr>
        <w:br/>
      </w:r>
      <w:hyperlink r:id="rId10" w:history="1">
        <w:r w:rsidRPr="0001172B">
          <w:rPr>
            <w:rStyle w:val="Hyperlink"/>
            <w:rFonts w:ascii="Calibri" w:hAnsi="Calibri" w:cs="Arial"/>
            <w:color w:val="auto"/>
            <w:sz w:val="24"/>
            <w:szCs w:val="24"/>
            <w:u w:val="none"/>
          </w:rPr>
          <w:t>iod-pid@bsp.gov.ph</w:t>
        </w:r>
      </w:hyperlink>
      <w:r w:rsidRPr="0001172B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 </w:t>
      </w:r>
      <w:r w:rsidRPr="0001172B">
        <w:rPr>
          <w:rFonts w:ascii="Calibri" w:hAnsi="Calibri" w:cs="Arial"/>
          <w:sz w:val="24"/>
          <w:szCs w:val="24"/>
        </w:rPr>
        <w:t>the following</w:t>
      </w:r>
      <w:r w:rsidR="00534B91" w:rsidRPr="0001172B">
        <w:rPr>
          <w:rFonts w:ascii="Calibri" w:hAnsi="Calibri" w:cs="Arial"/>
          <w:sz w:val="24"/>
          <w:szCs w:val="24"/>
        </w:rPr>
        <w:t xml:space="preserve">, </w:t>
      </w:r>
      <w:r w:rsidR="00534B91" w:rsidRPr="0001172B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using the prescribed forms</w:t>
      </w:r>
      <w:r w:rsidRPr="0001172B">
        <w:rPr>
          <w:rFonts w:ascii="Calibri" w:hAnsi="Calibri" w:cs="Arial"/>
          <w:sz w:val="24"/>
          <w:szCs w:val="24"/>
        </w:rPr>
        <w:t>:</w:t>
      </w:r>
    </w:p>
    <w:p w:rsidR="00D83DEA" w:rsidRPr="0001172B" w:rsidRDefault="00D83DEA" w:rsidP="00D83DEA">
      <w:pPr>
        <w:pStyle w:val="ListParagraph"/>
        <w:rPr>
          <w:rFonts w:ascii="Calibri" w:hAnsi="Calibri" w:cs="Arial"/>
          <w:sz w:val="24"/>
          <w:szCs w:val="24"/>
        </w:rPr>
      </w:pPr>
    </w:p>
    <w:p w:rsidR="00534B91" w:rsidRPr="0001172B" w:rsidRDefault="00D83DEA" w:rsidP="00534B91">
      <w:pPr>
        <w:pStyle w:val="ListParagraph"/>
        <w:numPr>
          <w:ilvl w:val="4"/>
          <w:numId w:val="6"/>
        </w:numPr>
        <w:tabs>
          <w:tab w:val="left" w:pos="1170"/>
        </w:tabs>
        <w:ind w:left="1170" w:hanging="45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>Report on Foreign Direct Investments Registered with AABs (Annex AD) on a monthly basis within five (5) banking days from end of reference month; and</w:t>
      </w:r>
    </w:p>
    <w:p w:rsidR="00534B91" w:rsidRPr="0001172B" w:rsidRDefault="00534B91" w:rsidP="00534B91">
      <w:pPr>
        <w:pStyle w:val="ListParagraph"/>
        <w:tabs>
          <w:tab w:val="left" w:pos="1170"/>
        </w:tabs>
        <w:ind w:left="1170"/>
        <w:jc w:val="both"/>
        <w:rPr>
          <w:rFonts w:ascii="Calibri" w:hAnsi="Calibri" w:cs="Arial"/>
          <w:sz w:val="24"/>
          <w:szCs w:val="24"/>
        </w:rPr>
      </w:pPr>
    </w:p>
    <w:p w:rsidR="00D83DEA" w:rsidRPr="0001172B" w:rsidRDefault="00D83DEA" w:rsidP="00534B91">
      <w:pPr>
        <w:pStyle w:val="ListParagraph"/>
        <w:numPr>
          <w:ilvl w:val="4"/>
          <w:numId w:val="6"/>
        </w:numPr>
        <w:tabs>
          <w:tab w:val="left" w:pos="1170"/>
        </w:tabs>
        <w:ind w:left="1170" w:hanging="450"/>
        <w:jc w:val="both"/>
        <w:rPr>
          <w:rFonts w:ascii="Calibri" w:hAnsi="Calibri" w:cs="Arial"/>
          <w:sz w:val="24"/>
          <w:szCs w:val="24"/>
        </w:rPr>
      </w:pPr>
      <w:r w:rsidRPr="0001172B">
        <w:rPr>
          <w:rFonts w:ascii="Calibri" w:hAnsi="Calibri" w:cs="Arial"/>
          <w:sz w:val="24"/>
          <w:szCs w:val="24"/>
        </w:rPr>
        <w:t xml:space="preserve">Report on Outstanding Investments Registered with AABs (Annex AB) on a quarterly basis within 15 </w:t>
      </w:r>
      <w:r w:rsidR="00FD4A49">
        <w:rPr>
          <w:rFonts w:ascii="Calibri" w:hAnsi="Calibri" w:cs="Arial"/>
          <w:sz w:val="24"/>
          <w:szCs w:val="24"/>
        </w:rPr>
        <w:t>banking</w:t>
      </w:r>
      <w:r w:rsidRPr="0001172B">
        <w:rPr>
          <w:rFonts w:ascii="Calibri" w:hAnsi="Calibri" w:cs="Arial"/>
          <w:sz w:val="24"/>
          <w:szCs w:val="24"/>
        </w:rPr>
        <w:t xml:space="preserve"> days from end of reference quarter.</w:t>
      </w:r>
    </w:p>
    <w:p w:rsidR="00D83DEA" w:rsidRPr="0001172B" w:rsidRDefault="00D83DEA" w:rsidP="00D83DEA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BF1BE8" w:rsidRPr="0001172B" w:rsidRDefault="00BF1BE8" w:rsidP="00BF1BE8">
      <w:pPr>
        <w:jc w:val="center"/>
        <w:rPr>
          <w:rFonts w:ascii="Calibri" w:hAnsi="Calibri"/>
          <w:sz w:val="24"/>
          <w:szCs w:val="24"/>
        </w:rPr>
      </w:pPr>
    </w:p>
    <w:sectPr w:rsidR="00BF1BE8" w:rsidRPr="0001172B" w:rsidSect="00DB626A">
      <w:headerReference w:type="even" r:id="rId11"/>
      <w:headerReference w:type="default" r:id="rId12"/>
      <w:pgSz w:w="11907" w:h="16839" w:code="9"/>
      <w:pgMar w:top="1440" w:right="1440" w:bottom="9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7BD" w:rsidRDefault="003037BD">
      <w:r>
        <w:separator/>
      </w:r>
    </w:p>
  </w:endnote>
  <w:endnote w:type="continuationSeparator" w:id="0">
    <w:p w:rsidR="003037BD" w:rsidRDefault="0030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7BD" w:rsidRDefault="003037BD">
      <w:r>
        <w:separator/>
      </w:r>
    </w:p>
  </w:footnote>
  <w:footnote w:type="continuationSeparator" w:id="0">
    <w:p w:rsidR="003037BD" w:rsidRDefault="003037BD">
      <w:r>
        <w:continuationSeparator/>
      </w:r>
    </w:p>
  </w:footnote>
  <w:footnote w:id="1">
    <w:p w:rsidR="00033657" w:rsidRPr="0001172B" w:rsidRDefault="00033657" w:rsidP="00033657">
      <w:pPr>
        <w:pStyle w:val="FootnoteText"/>
        <w:ind w:left="180" w:hanging="180"/>
        <w:jc w:val="both"/>
        <w:rPr>
          <w:rFonts w:asciiTheme="minorHAnsi" w:hAnsiTheme="minorHAnsi" w:cs="Calibri"/>
        </w:rPr>
      </w:pPr>
      <w:r w:rsidRPr="0001172B">
        <w:rPr>
          <w:rStyle w:val="FootnoteReference"/>
          <w:rFonts w:asciiTheme="minorHAnsi" w:hAnsiTheme="minorHAnsi" w:cs="Calibri"/>
        </w:rPr>
        <w:footnoteRef/>
      </w:r>
      <w:r w:rsidRPr="0001172B">
        <w:rPr>
          <w:rFonts w:asciiTheme="minorHAnsi" w:hAnsiTheme="minorHAnsi" w:cs="Calibri"/>
        </w:rPr>
        <w:t xml:space="preserve"> </w:t>
      </w:r>
      <w:r w:rsidRPr="0001172B">
        <w:rPr>
          <w:rFonts w:asciiTheme="minorHAnsi" w:hAnsiTheme="minorHAnsi" w:cs="Calibri"/>
        </w:rPr>
        <w:tab/>
      </w:r>
      <w:r w:rsidR="00273EEA" w:rsidRPr="0001172B">
        <w:rPr>
          <w:rFonts w:asciiTheme="minorHAnsi" w:hAnsiTheme="minorHAnsi" w:cs="Calibri"/>
        </w:rPr>
        <w:t xml:space="preserve">Inward investments need not be registered unless the repatriation of capital and/or the remittance of related earnings shall be </w:t>
      </w:r>
      <w:r w:rsidR="005005B2" w:rsidRPr="0001172B">
        <w:rPr>
          <w:rFonts w:asciiTheme="minorHAnsi" w:hAnsiTheme="minorHAnsi" w:cs="Calibri"/>
        </w:rPr>
        <w:t>funded with</w:t>
      </w:r>
      <w:r w:rsidR="00273EEA" w:rsidRPr="0001172B">
        <w:rPr>
          <w:rFonts w:asciiTheme="minorHAnsi" w:hAnsiTheme="minorHAnsi" w:cs="Calibri"/>
        </w:rPr>
        <w:t xml:space="preserve"> FX resources of AABs/AAB forex corps.</w:t>
      </w:r>
    </w:p>
  </w:footnote>
  <w:footnote w:id="2">
    <w:p w:rsidR="002C6B86" w:rsidRPr="0001172B" w:rsidRDefault="002C6B86" w:rsidP="002C6B86">
      <w:pPr>
        <w:pStyle w:val="FootnoteText"/>
        <w:tabs>
          <w:tab w:val="left" w:pos="180"/>
        </w:tabs>
        <w:rPr>
          <w:rFonts w:asciiTheme="minorHAnsi" w:hAnsiTheme="minorHAnsi" w:cstheme="minorHAnsi"/>
        </w:rPr>
      </w:pPr>
      <w:r w:rsidRPr="0001172B">
        <w:rPr>
          <w:rStyle w:val="FootnoteReference"/>
          <w:rFonts w:asciiTheme="minorHAnsi" w:hAnsiTheme="minorHAnsi" w:cstheme="minorHAnsi"/>
        </w:rPr>
        <w:footnoteRef/>
      </w:r>
      <w:r w:rsidRPr="0001172B">
        <w:rPr>
          <w:rFonts w:asciiTheme="minorHAnsi" w:hAnsiTheme="minorHAnsi" w:cstheme="minorHAnsi"/>
        </w:rPr>
        <w:t xml:space="preserve"> </w:t>
      </w:r>
      <w:r w:rsidRPr="0001172B">
        <w:rPr>
          <w:rFonts w:asciiTheme="minorHAnsi" w:hAnsiTheme="minorHAnsi" w:cstheme="minorHAnsi"/>
        </w:rPr>
        <w:tab/>
        <w:t>Such as uplifted shares from an offshore exchange</w:t>
      </w:r>
    </w:p>
  </w:footnote>
  <w:footnote w:id="3">
    <w:p w:rsidR="00474A24" w:rsidRDefault="00474A24" w:rsidP="00474A24">
      <w:pPr>
        <w:pStyle w:val="FootnoteText"/>
        <w:tabs>
          <w:tab w:val="left" w:pos="180"/>
        </w:tabs>
      </w:pPr>
      <w:r w:rsidRPr="0001172B">
        <w:rPr>
          <w:rStyle w:val="FootnoteReference"/>
          <w:rFonts w:asciiTheme="minorHAnsi" w:hAnsiTheme="minorHAnsi"/>
        </w:rPr>
        <w:footnoteRef/>
      </w:r>
      <w:r w:rsidRPr="0001172B">
        <w:rPr>
          <w:rFonts w:asciiTheme="minorHAnsi" w:hAnsiTheme="minorHAnsi"/>
        </w:rPr>
        <w:t xml:space="preserve"> </w:t>
      </w:r>
      <w:r w:rsidRPr="0001172B">
        <w:rPr>
          <w:rFonts w:asciiTheme="minorHAnsi" w:hAnsiTheme="minorHAnsi"/>
        </w:rPr>
        <w:tab/>
        <w:t>Including transactions involving instruments used as collateral</w:t>
      </w:r>
      <w:r w:rsidR="00682387">
        <w:rPr>
          <w:rFonts w:asciiTheme="minorHAnsi" w:hAnsiTheme="minorHAnsi"/>
        </w:rPr>
        <w:t xml:space="preserve"> </w:t>
      </w:r>
      <w:r w:rsidR="00682387" w:rsidRPr="009679AF">
        <w:rPr>
          <w:rFonts w:asciiTheme="minorHAnsi" w:hAnsiTheme="minorHAnsi"/>
        </w:rPr>
        <w:t>and securities borrowed/lent</w:t>
      </w:r>
    </w:p>
  </w:footnote>
  <w:footnote w:id="4">
    <w:p w:rsidR="00D70BD2" w:rsidRPr="00D70BD2" w:rsidRDefault="00D70BD2" w:rsidP="00D70BD2">
      <w:pPr>
        <w:pStyle w:val="FootnoteText"/>
        <w:tabs>
          <w:tab w:val="left" w:pos="180"/>
        </w:tabs>
        <w:ind w:left="180" w:hanging="180"/>
        <w:rPr>
          <w:rFonts w:asciiTheme="minorHAnsi" w:hAnsiTheme="minorHAnsi" w:cstheme="minorHAnsi"/>
          <w:color w:val="FF0000"/>
        </w:rPr>
      </w:pPr>
      <w:r w:rsidRPr="0001172B">
        <w:rPr>
          <w:rStyle w:val="FootnoteReference"/>
          <w:rFonts w:asciiTheme="minorHAnsi" w:hAnsiTheme="minorHAnsi" w:cstheme="minorHAnsi"/>
        </w:rPr>
        <w:footnoteRef/>
      </w:r>
      <w:r w:rsidRPr="0001172B">
        <w:rPr>
          <w:rFonts w:asciiTheme="minorHAnsi" w:hAnsiTheme="minorHAnsi" w:cstheme="minorHAnsi"/>
        </w:rPr>
        <w:t xml:space="preserve"> </w:t>
      </w:r>
      <w:r w:rsidRPr="0001172B">
        <w:rPr>
          <w:rFonts w:asciiTheme="minorHAnsi" w:hAnsiTheme="minorHAnsi" w:cstheme="minorHAnsi"/>
        </w:rPr>
        <w:tab/>
        <w:t xml:space="preserve">Extension/roll-over after the 90-day minimum tenor is allowed provided that extension/roll-over </w:t>
      </w:r>
      <w:r w:rsidR="00CC27BF" w:rsidRPr="0001172B">
        <w:rPr>
          <w:rFonts w:asciiTheme="minorHAnsi" w:hAnsiTheme="minorHAnsi" w:cstheme="minorHAnsi"/>
        </w:rPr>
        <w:t xml:space="preserve">is made on the </w:t>
      </w:r>
      <w:r w:rsidRPr="0001172B">
        <w:rPr>
          <w:rFonts w:asciiTheme="minorHAnsi" w:hAnsiTheme="minorHAnsi" w:cstheme="minorHAnsi"/>
        </w:rPr>
        <w:t xml:space="preserve">maturity </w:t>
      </w:r>
      <w:r w:rsidR="00CC27BF" w:rsidRPr="0001172B">
        <w:rPr>
          <w:rFonts w:asciiTheme="minorHAnsi" w:hAnsiTheme="minorHAnsi" w:cstheme="minorHAnsi"/>
        </w:rPr>
        <w:t>date of the investment</w:t>
      </w:r>
      <w:r w:rsidR="00197D4E" w:rsidRPr="0001172B">
        <w:rPr>
          <w:rFonts w:asciiTheme="minorHAnsi" w:hAnsiTheme="minorHAnsi" w:cstheme="minorHAnsi"/>
        </w:rPr>
        <w:t>.</w:t>
      </w:r>
    </w:p>
  </w:footnote>
  <w:footnote w:id="5">
    <w:p w:rsidR="004A7B97" w:rsidRPr="0001172B" w:rsidRDefault="004A7B97" w:rsidP="0012151C">
      <w:pPr>
        <w:pStyle w:val="FootnoteText"/>
        <w:ind w:left="270" w:hanging="270"/>
        <w:jc w:val="both"/>
        <w:rPr>
          <w:rFonts w:asciiTheme="minorHAnsi" w:hAnsiTheme="minorHAnsi"/>
        </w:rPr>
      </w:pPr>
      <w:r w:rsidRPr="0001172B">
        <w:rPr>
          <w:rStyle w:val="FootnoteReference"/>
          <w:rFonts w:asciiTheme="minorHAnsi" w:hAnsiTheme="minorHAnsi"/>
        </w:rPr>
        <w:footnoteRef/>
      </w:r>
      <w:r w:rsidRPr="0001172B">
        <w:rPr>
          <w:rFonts w:asciiTheme="minorHAnsi" w:hAnsiTheme="minorHAnsi"/>
        </w:rPr>
        <w:t xml:space="preserve"> </w:t>
      </w:r>
      <w:r w:rsidRPr="0001172B">
        <w:rPr>
          <w:rFonts w:asciiTheme="minorHAnsi" w:hAnsiTheme="minorHAnsi"/>
        </w:rPr>
        <w:tab/>
      </w:r>
      <w:r w:rsidRPr="0001172B">
        <w:rPr>
          <w:rFonts w:asciiTheme="minorHAnsi" w:hAnsiTheme="minorHAnsi" w:cstheme="minorHAnsi"/>
        </w:rPr>
        <w:t xml:space="preserve">The subject line of the email shall indicate the following:  </w:t>
      </w:r>
      <w:r w:rsidRPr="0001172B">
        <w:rPr>
          <w:rFonts w:asciiTheme="minorHAnsi" w:hAnsiTheme="minorHAnsi" w:cs="Arial"/>
        </w:rPr>
        <w:t>Report on Investments Registered with AABs</w:t>
      </w:r>
      <w:r w:rsidRPr="0001172B">
        <w:rPr>
          <w:rFonts w:asciiTheme="minorHAnsi" w:hAnsiTheme="minorHAnsi" w:cstheme="minorHAnsi"/>
        </w:rPr>
        <w:t xml:space="preserve"> &lt;bank name&gt; &lt;report date&gt;. This format shall likewise be the filename convention for the attached report</w:t>
      </w:r>
    </w:p>
  </w:footnote>
  <w:footnote w:id="6">
    <w:p w:rsidR="00D83DEA" w:rsidRPr="00D70BD2" w:rsidRDefault="00D83DEA" w:rsidP="0012151C">
      <w:pPr>
        <w:pStyle w:val="FootnoteText"/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1172B">
        <w:rPr>
          <w:rStyle w:val="FootnoteReference"/>
          <w:rFonts w:asciiTheme="minorHAnsi" w:hAnsiTheme="minorHAnsi" w:cstheme="minorHAnsi"/>
          <w:szCs w:val="22"/>
        </w:rPr>
        <w:footnoteRef/>
      </w:r>
      <w:r w:rsidRPr="0001172B">
        <w:rPr>
          <w:rFonts w:asciiTheme="minorHAnsi" w:hAnsiTheme="minorHAnsi" w:cstheme="minorHAnsi"/>
          <w:szCs w:val="22"/>
        </w:rPr>
        <w:t xml:space="preserve">  </w:t>
      </w:r>
      <w:r w:rsidR="00534B91" w:rsidRPr="0001172B">
        <w:rPr>
          <w:rFonts w:asciiTheme="minorHAnsi" w:hAnsiTheme="minorHAnsi" w:cstheme="minorHAnsi"/>
          <w:szCs w:val="22"/>
        </w:rPr>
        <w:tab/>
      </w:r>
      <w:r w:rsidRPr="0001172B">
        <w:rPr>
          <w:rFonts w:asciiTheme="minorHAnsi" w:hAnsiTheme="minorHAnsi" w:cstheme="minorHAnsi"/>
          <w:szCs w:val="22"/>
        </w:rPr>
        <w:t>Posted at the BSP website</w:t>
      </w:r>
      <w:r w:rsidR="00CE175C" w:rsidRPr="0001172B">
        <w:rPr>
          <w:rFonts w:asciiTheme="minorHAnsi" w:hAnsiTheme="minorHAnsi" w:cstheme="minorHAnsi"/>
          <w:szCs w:val="22"/>
        </w:rPr>
        <w:t>. In accomplishing the report, AABs shall be guided by the Portfolio Investment Monitoring System-Manual of Instructions in Appendix 11.1B.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60" w:rsidRDefault="00736FEF" w:rsidP="00DB62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11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160" w:rsidRDefault="00BA1160" w:rsidP="00DB626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60" w:rsidRDefault="00BA1160" w:rsidP="00DB626A">
    <w:pPr>
      <w:pStyle w:val="Header"/>
      <w:jc w:val="right"/>
      <w:rPr>
        <w:rFonts w:ascii="Calibri" w:hAnsi="Calibri" w:cs="Arial"/>
        <w:b/>
        <w:sz w:val="24"/>
        <w:szCs w:val="24"/>
        <w:u w:val="single"/>
      </w:rPr>
    </w:pPr>
  </w:p>
  <w:p w:rsidR="00BA1160" w:rsidRDefault="00BA1160" w:rsidP="00DB626A">
    <w:pPr>
      <w:pStyle w:val="Header"/>
      <w:jc w:val="right"/>
      <w:rPr>
        <w:rFonts w:ascii="Calibri" w:hAnsi="Calibri" w:cs="Arial"/>
        <w:b/>
        <w:sz w:val="24"/>
        <w:szCs w:val="24"/>
        <w:u w:val="single"/>
      </w:rPr>
    </w:pPr>
  </w:p>
  <w:p w:rsidR="00BA1160" w:rsidRPr="0001172B" w:rsidRDefault="00BA1160" w:rsidP="00DB626A">
    <w:pPr>
      <w:pStyle w:val="Header"/>
      <w:jc w:val="right"/>
      <w:rPr>
        <w:rFonts w:ascii="Calibri" w:hAnsi="Calibri" w:cs="Arial"/>
        <w:b/>
        <w:sz w:val="24"/>
        <w:szCs w:val="24"/>
        <w:u w:val="single"/>
      </w:rPr>
    </w:pPr>
    <w:r w:rsidRPr="0001172B">
      <w:rPr>
        <w:rFonts w:ascii="Calibri" w:hAnsi="Calibri" w:cs="Arial"/>
        <w:b/>
        <w:sz w:val="24"/>
        <w:szCs w:val="24"/>
        <w:u w:val="single"/>
      </w:rPr>
      <w:t>APPENDIX 10.B</w:t>
    </w:r>
  </w:p>
  <w:p w:rsidR="00BA1160" w:rsidRPr="0001172B" w:rsidRDefault="00BA1160" w:rsidP="00DB626A">
    <w:pPr>
      <w:pStyle w:val="Header"/>
      <w:jc w:val="right"/>
      <w:rPr>
        <w:rFonts w:ascii="Calibri" w:hAnsi="Calibri" w:cs="Arial"/>
      </w:rPr>
    </w:pPr>
    <w:r w:rsidRPr="0001172B">
      <w:rPr>
        <w:rFonts w:ascii="Calibri" w:hAnsi="Calibri" w:cs="Arial"/>
      </w:rPr>
      <w:t xml:space="preserve">Page </w:t>
    </w:r>
    <w:r w:rsidR="00736FEF" w:rsidRPr="0001172B">
      <w:rPr>
        <w:rFonts w:ascii="Calibri" w:hAnsi="Calibri" w:cs="Arial"/>
      </w:rPr>
      <w:fldChar w:fldCharType="begin"/>
    </w:r>
    <w:r w:rsidRPr="0001172B">
      <w:rPr>
        <w:rFonts w:ascii="Calibri" w:hAnsi="Calibri" w:cs="Arial"/>
      </w:rPr>
      <w:instrText xml:space="preserve"> PAGE </w:instrText>
    </w:r>
    <w:r w:rsidR="00736FEF" w:rsidRPr="0001172B">
      <w:rPr>
        <w:rFonts w:ascii="Calibri" w:hAnsi="Calibri" w:cs="Arial"/>
      </w:rPr>
      <w:fldChar w:fldCharType="separate"/>
    </w:r>
    <w:r w:rsidR="00BB75C4">
      <w:rPr>
        <w:rFonts w:ascii="Calibri" w:hAnsi="Calibri" w:cs="Arial"/>
        <w:noProof/>
      </w:rPr>
      <w:t>4</w:t>
    </w:r>
    <w:r w:rsidR="00736FEF" w:rsidRPr="0001172B">
      <w:rPr>
        <w:rFonts w:ascii="Calibri" w:hAnsi="Calibri" w:cs="Arial"/>
      </w:rPr>
      <w:fldChar w:fldCharType="end"/>
    </w:r>
    <w:r w:rsidRPr="0001172B">
      <w:rPr>
        <w:rFonts w:ascii="Calibri" w:hAnsi="Calibri" w:cs="Arial"/>
      </w:rPr>
      <w:t xml:space="preserve"> of </w:t>
    </w:r>
    <w:r w:rsidR="00736FEF" w:rsidRPr="0001172B">
      <w:rPr>
        <w:rFonts w:ascii="Calibri" w:hAnsi="Calibri" w:cs="Arial"/>
      </w:rPr>
      <w:fldChar w:fldCharType="begin"/>
    </w:r>
    <w:r w:rsidRPr="0001172B">
      <w:rPr>
        <w:rFonts w:ascii="Calibri" w:hAnsi="Calibri" w:cs="Arial"/>
      </w:rPr>
      <w:instrText xml:space="preserve"> NUMPAGES </w:instrText>
    </w:r>
    <w:r w:rsidR="00736FEF" w:rsidRPr="0001172B">
      <w:rPr>
        <w:rFonts w:ascii="Calibri" w:hAnsi="Calibri" w:cs="Arial"/>
      </w:rPr>
      <w:fldChar w:fldCharType="separate"/>
    </w:r>
    <w:r w:rsidR="00BB75C4">
      <w:rPr>
        <w:rFonts w:ascii="Calibri" w:hAnsi="Calibri" w:cs="Arial"/>
        <w:noProof/>
      </w:rPr>
      <w:t>4</w:t>
    </w:r>
    <w:r w:rsidR="00736FEF" w:rsidRPr="0001172B">
      <w:rPr>
        <w:rFonts w:ascii="Calibri" w:hAnsi="Calibri" w:cs="Arial"/>
      </w:rPr>
      <w:fldChar w:fldCharType="end"/>
    </w:r>
  </w:p>
  <w:p w:rsidR="00BA1160" w:rsidRPr="0001172B" w:rsidRDefault="00BA1160" w:rsidP="00B65437">
    <w:pPr>
      <w:jc w:val="right"/>
      <w:rPr>
        <w:rFonts w:ascii="Calibri" w:hAnsi="Calibri" w:cs="Arial"/>
      </w:rPr>
    </w:pPr>
    <w:r w:rsidRPr="0001172B">
      <w:rPr>
        <w:rFonts w:ascii="Calibri" w:hAnsi="Calibri"/>
        <w:sz w:val="16"/>
        <w:szCs w:val="16"/>
      </w:rPr>
      <w:t xml:space="preserve">(As </w:t>
    </w:r>
    <w:r w:rsidR="00AC0517">
      <w:rPr>
        <w:rFonts w:ascii="Calibri" w:hAnsi="Calibri"/>
        <w:sz w:val="16"/>
        <w:szCs w:val="16"/>
      </w:rPr>
      <w:t>introduced by</w:t>
    </w:r>
    <w:r w:rsidR="008B7BC4" w:rsidRPr="0001172B">
      <w:rPr>
        <w:rFonts w:ascii="Calibri" w:hAnsi="Calibri"/>
        <w:sz w:val="16"/>
        <w:szCs w:val="16"/>
      </w:rPr>
      <w:t xml:space="preserve"> </w:t>
    </w:r>
    <w:r w:rsidRPr="0001172B">
      <w:rPr>
        <w:rFonts w:ascii="Calibri" w:hAnsi="Calibri"/>
        <w:sz w:val="16"/>
        <w:szCs w:val="16"/>
      </w:rPr>
      <w:t xml:space="preserve">Circular No. </w:t>
    </w:r>
    <w:r w:rsidR="00BB75C4">
      <w:rPr>
        <w:rFonts w:ascii="Calibri" w:hAnsi="Calibri"/>
        <w:sz w:val="16"/>
        <w:szCs w:val="16"/>
      </w:rPr>
      <w:t xml:space="preserve">1030 </w:t>
    </w:r>
    <w:r w:rsidRPr="0001172B">
      <w:rPr>
        <w:rFonts w:ascii="Calibri" w:hAnsi="Calibri"/>
        <w:sz w:val="16"/>
        <w:szCs w:val="16"/>
      </w:rPr>
      <w:t xml:space="preserve">dated </w:t>
    </w:r>
    <w:r w:rsidR="00BB75C4">
      <w:rPr>
        <w:rFonts w:ascii="Calibri" w:hAnsi="Calibri"/>
        <w:sz w:val="16"/>
        <w:szCs w:val="16"/>
      </w:rPr>
      <w:t>5 Feb</w:t>
    </w:r>
    <w:r w:rsidR="00387B33">
      <w:rPr>
        <w:rFonts w:ascii="Calibri" w:hAnsi="Calibri"/>
        <w:sz w:val="16"/>
        <w:szCs w:val="16"/>
      </w:rPr>
      <w:t xml:space="preserve"> </w:t>
    </w:r>
    <w:r w:rsidRPr="0001172B">
      <w:rPr>
        <w:rFonts w:ascii="Calibri" w:hAnsi="Calibri"/>
        <w:sz w:val="16"/>
        <w:szCs w:val="16"/>
      </w:rPr>
      <w:t>201</w:t>
    </w:r>
    <w:r w:rsidR="00387B33">
      <w:rPr>
        <w:rFonts w:ascii="Calibri" w:hAnsi="Calibri"/>
        <w:sz w:val="16"/>
        <w:szCs w:val="16"/>
      </w:rPr>
      <w:t>9</w:t>
    </w:r>
    <w:r w:rsidRPr="0001172B">
      <w:rPr>
        <w:rFonts w:ascii="Calibri" w:hAnsi="Calibri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A4579"/>
    <w:multiLevelType w:val="hybridMultilevel"/>
    <w:tmpl w:val="AF48D3FE"/>
    <w:lvl w:ilvl="0" w:tplc="2E303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A0CB4"/>
    <w:multiLevelType w:val="hybridMultilevel"/>
    <w:tmpl w:val="53123846"/>
    <w:lvl w:ilvl="0" w:tplc="5E4E6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04F2"/>
    <w:multiLevelType w:val="hybridMultilevel"/>
    <w:tmpl w:val="8058301C"/>
    <w:lvl w:ilvl="0" w:tplc="1FC08B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u w:val="none"/>
      </w:rPr>
    </w:lvl>
    <w:lvl w:ilvl="1" w:tplc="9484225A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E4D45CC"/>
    <w:multiLevelType w:val="hybridMultilevel"/>
    <w:tmpl w:val="68F878D6"/>
    <w:lvl w:ilvl="0" w:tplc="EB86153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2A865F2">
      <w:start w:val="2"/>
      <w:numFmt w:val="upp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5E3EFFB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color w:val="FF000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585F10">
      <w:start w:val="1"/>
      <w:numFmt w:val="lowerLetter"/>
      <w:lvlText w:val="%5."/>
      <w:lvlJc w:val="left"/>
      <w:pPr>
        <w:ind w:left="396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CB5EFF"/>
    <w:multiLevelType w:val="hybridMultilevel"/>
    <w:tmpl w:val="93BE8D98"/>
    <w:lvl w:ilvl="0" w:tplc="9DF42E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43FBA"/>
    <w:multiLevelType w:val="hybridMultilevel"/>
    <w:tmpl w:val="04E87A9E"/>
    <w:lvl w:ilvl="0" w:tplc="CF441F84">
      <w:start w:val="1"/>
      <w:numFmt w:val="upperRoman"/>
      <w:lvlText w:val="%1."/>
      <w:lvlJc w:val="right"/>
      <w:pPr>
        <w:ind w:left="1080" w:hanging="360"/>
      </w:pPr>
      <w:rPr>
        <w:color w:val="FF0000"/>
      </w:rPr>
    </w:lvl>
    <w:lvl w:ilvl="1" w:tplc="196EDA3C">
      <w:start w:val="1"/>
      <w:numFmt w:val="upperRoman"/>
      <w:lvlText w:val="%2."/>
      <w:lvlJc w:val="left"/>
      <w:pPr>
        <w:ind w:left="1800" w:hanging="360"/>
      </w:pPr>
      <w:rPr>
        <w:rFonts w:hint="default"/>
      </w:rPr>
    </w:lvl>
    <w:lvl w:ilvl="2" w:tplc="0DCE05E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6A4C8674">
      <w:start w:val="6"/>
      <w:numFmt w:val="decimal"/>
      <w:lvlText w:val="%4."/>
      <w:lvlJc w:val="left"/>
      <w:pPr>
        <w:ind w:left="3240" w:hanging="360"/>
      </w:pPr>
      <w:rPr>
        <w:rFonts w:hint="default"/>
        <w:color w:val="FF000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6341AC"/>
    <w:multiLevelType w:val="hybridMultilevel"/>
    <w:tmpl w:val="0A304A70"/>
    <w:lvl w:ilvl="0" w:tplc="D90632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DCF75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trike/>
        <w:color w:val="FF0000"/>
      </w:rPr>
    </w:lvl>
    <w:lvl w:ilvl="2" w:tplc="252EB0BA">
      <w:start w:val="1"/>
      <w:numFmt w:val="decimal"/>
      <w:lvlText w:val="%3."/>
      <w:lvlJc w:val="left"/>
      <w:pPr>
        <w:ind w:left="2160" w:hanging="360"/>
      </w:pPr>
      <w:rPr>
        <w:rFonts w:asciiTheme="minorHAnsi" w:hAnsiTheme="minorHAnsi" w:cstheme="minorHAns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90"/>
    <w:rsid w:val="000003B7"/>
    <w:rsid w:val="000061D5"/>
    <w:rsid w:val="0001172B"/>
    <w:rsid w:val="000272CE"/>
    <w:rsid w:val="0003108A"/>
    <w:rsid w:val="00032EEC"/>
    <w:rsid w:val="00033657"/>
    <w:rsid w:val="00034EA6"/>
    <w:rsid w:val="0005038D"/>
    <w:rsid w:val="00052E27"/>
    <w:rsid w:val="00065862"/>
    <w:rsid w:val="00080C37"/>
    <w:rsid w:val="00097967"/>
    <w:rsid w:val="000A2DA2"/>
    <w:rsid w:val="000C7C7A"/>
    <w:rsid w:val="0012151C"/>
    <w:rsid w:val="00125F7F"/>
    <w:rsid w:val="0013605F"/>
    <w:rsid w:val="00156191"/>
    <w:rsid w:val="00190950"/>
    <w:rsid w:val="00197D4E"/>
    <w:rsid w:val="001A6001"/>
    <w:rsid w:val="001C657A"/>
    <w:rsid w:val="001C7178"/>
    <w:rsid w:val="001D2092"/>
    <w:rsid w:val="001D27B3"/>
    <w:rsid w:val="001D7FAE"/>
    <w:rsid w:val="001F15D7"/>
    <w:rsid w:val="00202F2F"/>
    <w:rsid w:val="00221D5A"/>
    <w:rsid w:val="00245CD4"/>
    <w:rsid w:val="002525CF"/>
    <w:rsid w:val="00253E3F"/>
    <w:rsid w:val="00262452"/>
    <w:rsid w:val="00266FA1"/>
    <w:rsid w:val="00270D5A"/>
    <w:rsid w:val="0027297F"/>
    <w:rsid w:val="00273EEA"/>
    <w:rsid w:val="0028584B"/>
    <w:rsid w:val="002A2AEA"/>
    <w:rsid w:val="002B7587"/>
    <w:rsid w:val="002C6B86"/>
    <w:rsid w:val="003037BD"/>
    <w:rsid w:val="0030560F"/>
    <w:rsid w:val="003120FD"/>
    <w:rsid w:val="0031700F"/>
    <w:rsid w:val="003203A5"/>
    <w:rsid w:val="003310EB"/>
    <w:rsid w:val="00336579"/>
    <w:rsid w:val="00336A1B"/>
    <w:rsid w:val="003373EA"/>
    <w:rsid w:val="00343E5D"/>
    <w:rsid w:val="00352B3C"/>
    <w:rsid w:val="00364CBE"/>
    <w:rsid w:val="00374A3D"/>
    <w:rsid w:val="0037657F"/>
    <w:rsid w:val="00384D77"/>
    <w:rsid w:val="00387B33"/>
    <w:rsid w:val="003A1118"/>
    <w:rsid w:val="003A57DA"/>
    <w:rsid w:val="003B0122"/>
    <w:rsid w:val="003B0E26"/>
    <w:rsid w:val="003C0341"/>
    <w:rsid w:val="003C3B9F"/>
    <w:rsid w:val="003C55C8"/>
    <w:rsid w:val="003F3F98"/>
    <w:rsid w:val="003F7389"/>
    <w:rsid w:val="0041017E"/>
    <w:rsid w:val="00415F7D"/>
    <w:rsid w:val="0042380F"/>
    <w:rsid w:val="00425B76"/>
    <w:rsid w:val="00471C5D"/>
    <w:rsid w:val="00474A24"/>
    <w:rsid w:val="00477C0F"/>
    <w:rsid w:val="004A143B"/>
    <w:rsid w:val="004A1ADC"/>
    <w:rsid w:val="004A7B97"/>
    <w:rsid w:val="004B0038"/>
    <w:rsid w:val="004B3B93"/>
    <w:rsid w:val="004C0F72"/>
    <w:rsid w:val="004C5D0E"/>
    <w:rsid w:val="004D7D09"/>
    <w:rsid w:val="004E37B3"/>
    <w:rsid w:val="004F6E7A"/>
    <w:rsid w:val="005005B2"/>
    <w:rsid w:val="0050634C"/>
    <w:rsid w:val="005151E7"/>
    <w:rsid w:val="00534B91"/>
    <w:rsid w:val="00546595"/>
    <w:rsid w:val="00554739"/>
    <w:rsid w:val="00556FDD"/>
    <w:rsid w:val="005776FE"/>
    <w:rsid w:val="005968BB"/>
    <w:rsid w:val="005A08B6"/>
    <w:rsid w:val="005A3E0B"/>
    <w:rsid w:val="005B71E3"/>
    <w:rsid w:val="005C6CFF"/>
    <w:rsid w:val="005D0D8E"/>
    <w:rsid w:val="005F0568"/>
    <w:rsid w:val="005F18D0"/>
    <w:rsid w:val="00602B3C"/>
    <w:rsid w:val="006070AC"/>
    <w:rsid w:val="00611620"/>
    <w:rsid w:val="006246B1"/>
    <w:rsid w:val="00626700"/>
    <w:rsid w:val="00641067"/>
    <w:rsid w:val="006444CD"/>
    <w:rsid w:val="006454F1"/>
    <w:rsid w:val="006572C3"/>
    <w:rsid w:val="00667CA5"/>
    <w:rsid w:val="00682387"/>
    <w:rsid w:val="00685FE1"/>
    <w:rsid w:val="006A03EF"/>
    <w:rsid w:val="006A6237"/>
    <w:rsid w:val="006B2A74"/>
    <w:rsid w:val="006C47BA"/>
    <w:rsid w:val="006C53AE"/>
    <w:rsid w:val="006D0753"/>
    <w:rsid w:val="006D4A9A"/>
    <w:rsid w:val="006D5556"/>
    <w:rsid w:val="006D7394"/>
    <w:rsid w:val="006E572F"/>
    <w:rsid w:val="006F2539"/>
    <w:rsid w:val="00707578"/>
    <w:rsid w:val="00714BF9"/>
    <w:rsid w:val="00720FD4"/>
    <w:rsid w:val="007364CA"/>
    <w:rsid w:val="00736843"/>
    <w:rsid w:val="00736FEF"/>
    <w:rsid w:val="007407B7"/>
    <w:rsid w:val="007623A0"/>
    <w:rsid w:val="007656A8"/>
    <w:rsid w:val="007676D4"/>
    <w:rsid w:val="007A6EC2"/>
    <w:rsid w:val="007B2490"/>
    <w:rsid w:val="007C52D6"/>
    <w:rsid w:val="007D3CE8"/>
    <w:rsid w:val="007D4774"/>
    <w:rsid w:val="007E0B90"/>
    <w:rsid w:val="007E3983"/>
    <w:rsid w:val="007F42C2"/>
    <w:rsid w:val="007F6793"/>
    <w:rsid w:val="008034A1"/>
    <w:rsid w:val="00805B11"/>
    <w:rsid w:val="008106A0"/>
    <w:rsid w:val="00817752"/>
    <w:rsid w:val="00820604"/>
    <w:rsid w:val="00837F4C"/>
    <w:rsid w:val="00855E43"/>
    <w:rsid w:val="00871BA0"/>
    <w:rsid w:val="0088512E"/>
    <w:rsid w:val="0088754A"/>
    <w:rsid w:val="00891E1E"/>
    <w:rsid w:val="008B7BC4"/>
    <w:rsid w:val="008C3864"/>
    <w:rsid w:val="008E5886"/>
    <w:rsid w:val="008F0F12"/>
    <w:rsid w:val="008F230F"/>
    <w:rsid w:val="009176DA"/>
    <w:rsid w:val="0093329C"/>
    <w:rsid w:val="00935553"/>
    <w:rsid w:val="00946BDA"/>
    <w:rsid w:val="00951E2D"/>
    <w:rsid w:val="00952D65"/>
    <w:rsid w:val="009674D5"/>
    <w:rsid w:val="009679AF"/>
    <w:rsid w:val="00975CF0"/>
    <w:rsid w:val="00977BC7"/>
    <w:rsid w:val="00990005"/>
    <w:rsid w:val="009948D1"/>
    <w:rsid w:val="00995EB9"/>
    <w:rsid w:val="009A7799"/>
    <w:rsid w:val="009B31A5"/>
    <w:rsid w:val="009B4A87"/>
    <w:rsid w:val="009B534C"/>
    <w:rsid w:val="009C0D9A"/>
    <w:rsid w:val="009C1001"/>
    <w:rsid w:val="009C5B74"/>
    <w:rsid w:val="009D62A9"/>
    <w:rsid w:val="009E4772"/>
    <w:rsid w:val="009E6D87"/>
    <w:rsid w:val="00A07C7C"/>
    <w:rsid w:val="00A22B5E"/>
    <w:rsid w:val="00A27E82"/>
    <w:rsid w:val="00A32359"/>
    <w:rsid w:val="00A33C7F"/>
    <w:rsid w:val="00A35C41"/>
    <w:rsid w:val="00A46E46"/>
    <w:rsid w:val="00A55C66"/>
    <w:rsid w:val="00A56979"/>
    <w:rsid w:val="00A816A8"/>
    <w:rsid w:val="00AA5685"/>
    <w:rsid w:val="00AC0517"/>
    <w:rsid w:val="00AF48E4"/>
    <w:rsid w:val="00B0658C"/>
    <w:rsid w:val="00B2244E"/>
    <w:rsid w:val="00B4708B"/>
    <w:rsid w:val="00B6283E"/>
    <w:rsid w:val="00B65437"/>
    <w:rsid w:val="00B72995"/>
    <w:rsid w:val="00B747E0"/>
    <w:rsid w:val="00B840AC"/>
    <w:rsid w:val="00B97FF2"/>
    <w:rsid w:val="00BA1160"/>
    <w:rsid w:val="00BB6D88"/>
    <w:rsid w:val="00BB75C4"/>
    <w:rsid w:val="00BC6FA3"/>
    <w:rsid w:val="00BC7297"/>
    <w:rsid w:val="00BF1250"/>
    <w:rsid w:val="00BF1BE8"/>
    <w:rsid w:val="00BF4AE4"/>
    <w:rsid w:val="00C21AB2"/>
    <w:rsid w:val="00C43E50"/>
    <w:rsid w:val="00C60F18"/>
    <w:rsid w:val="00C6170B"/>
    <w:rsid w:val="00C73A83"/>
    <w:rsid w:val="00C87220"/>
    <w:rsid w:val="00C92BCF"/>
    <w:rsid w:val="00C953EB"/>
    <w:rsid w:val="00CC01BE"/>
    <w:rsid w:val="00CC27BF"/>
    <w:rsid w:val="00CC46E5"/>
    <w:rsid w:val="00CD1DD2"/>
    <w:rsid w:val="00CE0A1D"/>
    <w:rsid w:val="00CE175C"/>
    <w:rsid w:val="00CE2D2B"/>
    <w:rsid w:val="00D10BB2"/>
    <w:rsid w:val="00D22845"/>
    <w:rsid w:val="00D324B3"/>
    <w:rsid w:val="00D3703A"/>
    <w:rsid w:val="00D52B20"/>
    <w:rsid w:val="00D70BD2"/>
    <w:rsid w:val="00D83DEA"/>
    <w:rsid w:val="00DB626A"/>
    <w:rsid w:val="00DD6D18"/>
    <w:rsid w:val="00DD7268"/>
    <w:rsid w:val="00DE5FFD"/>
    <w:rsid w:val="00E0119A"/>
    <w:rsid w:val="00E029CA"/>
    <w:rsid w:val="00E07572"/>
    <w:rsid w:val="00E154E7"/>
    <w:rsid w:val="00E21AEB"/>
    <w:rsid w:val="00E63E8F"/>
    <w:rsid w:val="00E67A62"/>
    <w:rsid w:val="00E9064D"/>
    <w:rsid w:val="00E92D95"/>
    <w:rsid w:val="00E94EE9"/>
    <w:rsid w:val="00E96831"/>
    <w:rsid w:val="00E96BFB"/>
    <w:rsid w:val="00EA5F8D"/>
    <w:rsid w:val="00EB177B"/>
    <w:rsid w:val="00EB238E"/>
    <w:rsid w:val="00EB2D5B"/>
    <w:rsid w:val="00EB37F3"/>
    <w:rsid w:val="00EC2090"/>
    <w:rsid w:val="00EC3C8C"/>
    <w:rsid w:val="00EC5ECE"/>
    <w:rsid w:val="00ED6E21"/>
    <w:rsid w:val="00ED7C4B"/>
    <w:rsid w:val="00EE5CE8"/>
    <w:rsid w:val="00EF039E"/>
    <w:rsid w:val="00EF050F"/>
    <w:rsid w:val="00EF6CDF"/>
    <w:rsid w:val="00F03C3B"/>
    <w:rsid w:val="00F100A9"/>
    <w:rsid w:val="00F2135B"/>
    <w:rsid w:val="00F303E6"/>
    <w:rsid w:val="00F32A44"/>
    <w:rsid w:val="00F61846"/>
    <w:rsid w:val="00F63812"/>
    <w:rsid w:val="00F63C86"/>
    <w:rsid w:val="00F857C4"/>
    <w:rsid w:val="00F92670"/>
    <w:rsid w:val="00FA5C12"/>
    <w:rsid w:val="00FB769B"/>
    <w:rsid w:val="00FC643F"/>
    <w:rsid w:val="00FD2092"/>
    <w:rsid w:val="00FD4A49"/>
    <w:rsid w:val="00FE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5AADE-DC94-43D0-890C-436200F0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626A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DB626A"/>
    <w:pPr>
      <w:keepNext/>
      <w:jc w:val="both"/>
      <w:outlineLvl w:val="1"/>
    </w:pPr>
    <w:rPr>
      <w:rFonts w:ascii="Arial" w:hAnsi="Arial" w:cs="Arial"/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DB626A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DB626A"/>
    <w:pPr>
      <w:keepNext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DB626A"/>
    <w:pPr>
      <w:keepNext/>
      <w:jc w:val="both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DB626A"/>
    <w:pPr>
      <w:keepNext/>
      <w:jc w:val="both"/>
      <w:outlineLvl w:val="6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qFormat/>
    <w:rsid w:val="00DB626A"/>
    <w:pPr>
      <w:keepNext/>
      <w:ind w:left="720"/>
      <w:jc w:val="both"/>
      <w:outlineLvl w:val="8"/>
    </w:pPr>
    <w:rPr>
      <w:rFonts w:ascii="Arial" w:hAnsi="Arial"/>
      <w:b/>
      <w:bCs/>
      <w:sz w:val="24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626A"/>
    <w:rPr>
      <w:rFonts w:ascii="Arial" w:eastAsia="Times New Roman" w:hAnsi="Arial" w:cs="Arial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DB626A"/>
    <w:rPr>
      <w:rFonts w:ascii="Arial" w:eastAsia="Times New Roman" w:hAnsi="Arial" w:cs="Arial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B626A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B626A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B626A"/>
    <w:rPr>
      <w:rFonts w:ascii="Arial" w:eastAsia="Times New Roman" w:hAnsi="Arial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B626A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B626A"/>
    <w:rPr>
      <w:rFonts w:ascii="Arial" w:eastAsia="Times New Roman" w:hAnsi="Arial" w:cs="Times New Roman"/>
      <w:b/>
      <w:bCs/>
      <w:sz w:val="24"/>
      <w:szCs w:val="19"/>
    </w:rPr>
  </w:style>
  <w:style w:type="paragraph" w:styleId="Header">
    <w:name w:val="header"/>
    <w:basedOn w:val="Normal"/>
    <w:link w:val="HeaderChar"/>
    <w:rsid w:val="007E0B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0B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E0B90"/>
  </w:style>
  <w:style w:type="character" w:styleId="Hyperlink">
    <w:name w:val="Hyperlink"/>
    <w:rsid w:val="006E572F"/>
    <w:rPr>
      <w:color w:val="0000FF"/>
      <w:u w:val="single"/>
    </w:rPr>
  </w:style>
  <w:style w:type="paragraph" w:styleId="FootnoteText">
    <w:name w:val="footnote text"/>
    <w:aliases w:val="fn"/>
    <w:basedOn w:val="Normal"/>
    <w:link w:val="FootnoteTextChar"/>
    <w:rsid w:val="006E572F"/>
  </w:style>
  <w:style w:type="character" w:customStyle="1" w:styleId="FootnoteTextChar">
    <w:name w:val="Footnote Text Char"/>
    <w:aliases w:val="fn Char"/>
    <w:basedOn w:val="DefaultParagraphFont"/>
    <w:link w:val="FootnoteText"/>
    <w:rsid w:val="006E57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E57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626A"/>
    <w:pPr>
      <w:ind w:left="720"/>
      <w:contextualSpacing/>
    </w:pPr>
  </w:style>
  <w:style w:type="paragraph" w:styleId="Title">
    <w:name w:val="Title"/>
    <w:basedOn w:val="Normal"/>
    <w:link w:val="TitleChar"/>
    <w:qFormat/>
    <w:rsid w:val="00DB626A"/>
    <w:pPr>
      <w:jc w:val="center"/>
    </w:pPr>
    <w:rPr>
      <w:rFonts w:ascii="Arial" w:hAnsi="Arial" w:cs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B626A"/>
    <w:rPr>
      <w:rFonts w:ascii="Arial" w:eastAsia="Times New Roman" w:hAnsi="Arial" w:cs="Arial"/>
      <w:b/>
      <w:sz w:val="28"/>
      <w:szCs w:val="20"/>
      <w:u w:val="single"/>
    </w:rPr>
  </w:style>
  <w:style w:type="paragraph" w:styleId="Subtitle">
    <w:name w:val="Subtitle"/>
    <w:basedOn w:val="Normal"/>
    <w:link w:val="SubtitleChar"/>
    <w:qFormat/>
    <w:rsid w:val="00DB626A"/>
    <w:rPr>
      <w:rFonts w:ascii="Arial" w:hAnsi="Arial" w:cs="Arial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DB626A"/>
    <w:rPr>
      <w:rFonts w:ascii="Arial" w:eastAsia="Times New Roman" w:hAnsi="Arial" w:cs="Arial"/>
      <w:b/>
      <w:bCs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DB6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6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B626A"/>
    <w:pPr>
      <w:ind w:left="10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DB626A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DB626A"/>
    <w:pPr>
      <w:jc w:val="both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B626A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DB626A"/>
    <w:pPr>
      <w:jc w:val="both"/>
    </w:pPr>
    <w:rPr>
      <w:rFonts w:ascii="Arial" w:hAnsi="Arial"/>
      <w:bCs/>
    </w:rPr>
  </w:style>
  <w:style w:type="character" w:customStyle="1" w:styleId="BodyText2Char">
    <w:name w:val="Body Text 2 Char"/>
    <w:basedOn w:val="DefaultParagraphFont"/>
    <w:link w:val="BodyText2"/>
    <w:rsid w:val="00DB626A"/>
    <w:rPr>
      <w:rFonts w:ascii="Arial" w:eastAsia="Times New Roman" w:hAnsi="Arial" w:cs="Times New Roman"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DB626A"/>
    <w:pPr>
      <w:ind w:left="720" w:firstLine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DB626A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B626A"/>
    <w:pPr>
      <w:jc w:val="both"/>
    </w:pPr>
    <w:rPr>
      <w:rFonts w:ascii="Arial" w:hAnsi="Arial"/>
      <w:b/>
      <w:bCs/>
      <w:color w:val="FF0000"/>
      <w:szCs w:val="19"/>
    </w:rPr>
  </w:style>
  <w:style w:type="character" w:customStyle="1" w:styleId="BodyText3Char">
    <w:name w:val="Body Text 3 Char"/>
    <w:basedOn w:val="DefaultParagraphFont"/>
    <w:link w:val="BodyText3"/>
    <w:rsid w:val="00DB626A"/>
    <w:rPr>
      <w:rFonts w:ascii="Arial" w:eastAsia="Times New Roman" w:hAnsi="Arial" w:cs="Times New Roman"/>
      <w:b/>
      <w:bCs/>
      <w:color w:val="FF0000"/>
      <w:sz w:val="20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6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(04)%20Circular%20and%20Attachments\Attachments\(15)%20Power%20Microfinance%20ETFs%20PDRs%20New%20Proposals\02%20After%20Meeting%20With%20Gov%2027%20March%202017\WITH%20RED%20AND%20STRIKETHROUGH\Attachments\Appendix%201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od-pid@bsp.gov.p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(04)%20Circular%20and%20Attachments\Attachments\For%20discussion_022018\Appendix%20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1793D447A7B45941C3675A819D9DF" ma:contentTypeVersion="8" ma:contentTypeDescription="Create a new document." ma:contentTypeScope="" ma:versionID="ed7e3ddd2a25df6dbd42ec61caae4f7c">
  <xsd:schema xmlns:xsd="http://www.w3.org/2001/XMLSchema" xmlns:xs="http://www.w3.org/2001/XMLSchema" xmlns:p="http://schemas.microsoft.com/office/2006/metadata/properties" xmlns:ns2="76a031a3-9ad2-46be-a79d-184d88cdbdc9" targetNamespace="http://schemas.microsoft.com/office/2006/metadata/properties" ma:root="true" ma:fieldsID="35e761c6066c57987ca9959f6b223ece" ns2:_="">
    <xsd:import namespace="76a031a3-9ad2-46be-a79d-184d88cd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31a3-9ad2-46be-a79d-184d88cd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76A2A-D8ED-4DED-A75F-EFC141716E02}"/>
</file>

<file path=customXml/itemProps2.xml><?xml version="1.0" encoding="utf-8"?>
<ds:datastoreItem xmlns:ds="http://schemas.openxmlformats.org/officeDocument/2006/customXml" ds:itemID="{7C81DBE6-D6F8-433F-8052-1569A3841993}"/>
</file>

<file path=customXml/itemProps3.xml><?xml version="1.0" encoding="utf-8"?>
<ds:datastoreItem xmlns:ds="http://schemas.openxmlformats.org/officeDocument/2006/customXml" ds:itemID="{9892C991-5C9C-4BC8-9F13-55D6E7F0FA39}"/>
</file>

<file path=customXml/itemProps4.xml><?xml version="1.0" encoding="utf-8"?>
<ds:datastoreItem xmlns:ds="http://schemas.openxmlformats.org/officeDocument/2006/customXml" ds:itemID="{64AB0F6A-9DE1-46B6-A450-62730CA85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Lein G. Morales</dc:creator>
  <cp:lastModifiedBy>Joan Lein  D. Morales</cp:lastModifiedBy>
  <cp:revision>2</cp:revision>
  <cp:lastPrinted>2018-07-20T09:03:00Z</cp:lastPrinted>
  <dcterms:created xsi:type="dcterms:W3CDTF">2019-02-07T09:50:00Z</dcterms:created>
  <dcterms:modified xsi:type="dcterms:W3CDTF">2019-02-07T09:50:00Z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0x010100AEB1793D447A7B45941C3675A819D9DF</vt:lpwstr>
  </property>
</Properties>
</file>